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B1E" w:rsidRDefault="00F93B1E" w:rsidP="008F5985"/>
    <w:p w:rsidR="001540A5" w:rsidRPr="001540A5" w:rsidRDefault="0079218E" w:rsidP="008F5985">
      <w:r w:rsidRPr="001540A5">
        <w:rPr>
          <w:noProof/>
          <w:lang w:eastAsia="fr-FR"/>
        </w:rPr>
        <w:drawing>
          <wp:anchor distT="0" distB="0" distL="114300" distR="114300" simplePos="0" relativeHeight="251658240" behindDoc="0" locked="0" layoutInCell="1" allowOverlap="1" wp14:anchorId="6207A800" wp14:editId="5AC4EEE0">
            <wp:simplePos x="0" y="0"/>
            <wp:positionH relativeFrom="margin">
              <wp:align>right</wp:align>
            </wp:positionH>
            <wp:positionV relativeFrom="paragraph">
              <wp:posOffset>221</wp:posOffset>
            </wp:positionV>
            <wp:extent cx="5943600" cy="1103630"/>
            <wp:effectExtent l="0" t="0" r="0" b="1270"/>
            <wp:wrapTopAndBottom/>
            <wp:docPr id="1" name="Picture 1" title="Logo de Déphy Montréal, le regroupement des organismes en déficience physique de l'île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3630"/>
                    </a:xfrm>
                    <a:prstGeom prst="rect">
                      <a:avLst/>
                    </a:prstGeom>
                  </pic:spPr>
                </pic:pic>
              </a:graphicData>
            </a:graphic>
          </wp:anchor>
        </w:drawing>
      </w:r>
    </w:p>
    <w:p w:rsidR="00DB297E" w:rsidRDefault="001540A5" w:rsidP="00885839">
      <w:pPr>
        <w:pStyle w:val="Title"/>
        <w:spacing w:after="1320"/>
      </w:pPr>
      <w:r>
        <w:t>Mémoire</w:t>
      </w:r>
    </w:p>
    <w:p w:rsidR="00885839" w:rsidRDefault="00160D7B" w:rsidP="00885839">
      <w:pPr>
        <w:pStyle w:val="Subtitle"/>
      </w:pPr>
      <w:r>
        <w:t>Rédigé dans le cadre de la consultation</w:t>
      </w:r>
      <w:r>
        <w:br/>
        <w:t>« Racisme et discrimination systémiques »</w:t>
      </w:r>
      <w:r>
        <w:br/>
        <w:t>menée par l’Office de consultation publique de Montréal</w:t>
      </w:r>
    </w:p>
    <w:p w:rsidR="00885839" w:rsidRPr="00885839" w:rsidRDefault="00160D7B" w:rsidP="008F5985">
      <w:pPr>
        <w:pStyle w:val="address"/>
      </w:pPr>
      <w:r>
        <w:t>30 octobre 2019</w:t>
      </w:r>
    </w:p>
    <w:p w:rsidR="00885839" w:rsidRPr="00885839" w:rsidRDefault="00885839" w:rsidP="008F5985"/>
    <w:p w:rsidR="00DB297E" w:rsidRPr="00D47FB9" w:rsidRDefault="001F05EF" w:rsidP="008F5985">
      <w:pPr>
        <w:pStyle w:val="address"/>
      </w:pPr>
      <w:r w:rsidRPr="00CC14B9">
        <w:rPr>
          <w:b/>
        </w:rPr>
        <w:t>DéPhy Montréal</w:t>
      </w:r>
      <w:r w:rsidR="008E57EA" w:rsidRPr="00CC14B9">
        <w:rPr>
          <w:b/>
        </w:rPr>
        <w:t xml:space="preserve"> </w:t>
      </w:r>
      <w:r w:rsidR="00CC14B9">
        <w:rPr>
          <w:b/>
        </w:rPr>
        <w:br/>
      </w:r>
      <w:r w:rsidR="001878D9" w:rsidRPr="00D47FB9">
        <w:t>312</w:t>
      </w:r>
      <w:r w:rsidRPr="00D47FB9">
        <w:t>-</w:t>
      </w:r>
      <w:r w:rsidR="001878D9" w:rsidRPr="00D47FB9">
        <w:t>7000</w:t>
      </w:r>
      <w:r w:rsidRPr="00D47FB9">
        <w:t xml:space="preserve">, </w:t>
      </w:r>
      <w:r w:rsidR="001878D9" w:rsidRPr="00D47FB9">
        <w:t>avenue du Parc</w:t>
      </w:r>
      <w:r w:rsidR="008E57EA" w:rsidRPr="00D47FB9">
        <w:t xml:space="preserve"> </w:t>
      </w:r>
      <w:r w:rsidR="00CC14B9">
        <w:br/>
      </w:r>
      <w:r w:rsidRPr="00D47FB9">
        <w:t>Montréal (Québec) H</w:t>
      </w:r>
      <w:r w:rsidR="001878D9" w:rsidRPr="00D47FB9">
        <w:t>3N</w:t>
      </w:r>
      <w:r w:rsidRPr="00D47FB9">
        <w:t xml:space="preserve"> </w:t>
      </w:r>
      <w:r w:rsidR="001878D9" w:rsidRPr="00D47FB9">
        <w:t>1X1</w:t>
      </w:r>
      <w:r w:rsidR="008E57EA" w:rsidRPr="00D47FB9">
        <w:t xml:space="preserve"> </w:t>
      </w:r>
      <w:r w:rsidR="00CC14B9">
        <w:br/>
      </w:r>
      <w:r w:rsidRPr="00D47FB9">
        <w:t>Tél.</w:t>
      </w:r>
      <w:r w:rsidR="001364DB">
        <w:t> :</w:t>
      </w:r>
      <w:r w:rsidRPr="00D47FB9">
        <w:t xml:space="preserve"> 514-255-4888</w:t>
      </w:r>
      <w:r w:rsidR="008E57EA" w:rsidRPr="00D47FB9">
        <w:t xml:space="preserve"> </w:t>
      </w:r>
      <w:r w:rsidR="00CC14B9">
        <w:br/>
      </w:r>
      <w:hyperlink r:id="rId9" w:history="1">
        <w:r w:rsidR="00292DE4" w:rsidRPr="00C461A9">
          <w:rPr>
            <w:rStyle w:val="Hyperlink"/>
          </w:rPr>
          <w:t>info@dephy-mtl.org</w:t>
        </w:r>
      </w:hyperlink>
      <w:r w:rsidR="001B1F43">
        <w:t xml:space="preserve"> </w:t>
      </w:r>
    </w:p>
    <w:p w:rsidR="00CC14B9" w:rsidRDefault="00CC14B9" w:rsidP="008F5985">
      <w:bookmarkStart w:id="0" w:name="_Toc485810406"/>
      <w:bookmarkStart w:id="1" w:name="_Toc515953941"/>
      <w:bookmarkStart w:id="2" w:name="_Toc516063389"/>
      <w:bookmarkStart w:id="3" w:name="_Toc526073454"/>
      <w:bookmarkStart w:id="4" w:name="_Toc530234296"/>
      <w:r>
        <w:br w:type="page"/>
      </w:r>
    </w:p>
    <w:p w:rsidR="00CC14B9" w:rsidRDefault="00CC14B9" w:rsidP="008F5985"/>
    <w:p w:rsidR="000D7436" w:rsidRDefault="000D7436" w:rsidP="008F5985"/>
    <w:p w:rsidR="007F28D2" w:rsidRDefault="007F28D2" w:rsidP="008F5985">
      <w:r>
        <w:t>R</w:t>
      </w:r>
      <w:r w:rsidR="001C3B70">
        <w:t>echerche et r</w:t>
      </w:r>
      <w:r>
        <w:t>édaction</w:t>
      </w:r>
      <w:r w:rsidR="001364DB">
        <w:t> :</w:t>
      </w:r>
      <w:r>
        <w:t xml:space="preserve"> </w:t>
      </w:r>
    </w:p>
    <w:p w:rsidR="00160D7B" w:rsidRDefault="00160D7B" w:rsidP="008F5985">
      <w:pPr>
        <w:numPr>
          <w:ilvl w:val="0"/>
          <w:numId w:val="6"/>
        </w:numPr>
      </w:pPr>
      <w:r>
        <w:t>Anne Pelletier, directrice générale - DéPhy Montréal</w:t>
      </w:r>
    </w:p>
    <w:p w:rsidR="00160D7B" w:rsidRDefault="00160D7B" w:rsidP="008F5985">
      <w:pPr>
        <w:numPr>
          <w:ilvl w:val="0"/>
          <w:numId w:val="6"/>
        </w:numPr>
      </w:pPr>
      <w:r>
        <w:t>Marie-Cécile Bertard, agente de communications – DéPhy Montréal</w:t>
      </w:r>
    </w:p>
    <w:p w:rsidR="00160D7B" w:rsidRDefault="00160D7B" w:rsidP="008F5985"/>
    <w:p w:rsidR="007F28D2" w:rsidRDefault="007F28D2" w:rsidP="008F5985">
      <w:r>
        <w:t>Avec la collaboration de</w:t>
      </w:r>
      <w:r w:rsidR="001364DB">
        <w:t> :</w:t>
      </w:r>
      <w:r>
        <w:t xml:space="preserve"> </w:t>
      </w:r>
    </w:p>
    <w:p w:rsidR="002D0458" w:rsidRDefault="002D0458" w:rsidP="00C9625D">
      <w:pPr>
        <w:numPr>
          <w:ilvl w:val="0"/>
          <w:numId w:val="7"/>
        </w:numPr>
      </w:pPr>
      <w:r>
        <w:t xml:space="preserve">Cécile Retg, coordonnatrice </w:t>
      </w:r>
      <w:r>
        <w:br/>
        <w:t xml:space="preserve">Association québécoise des personnes de petite taille </w:t>
      </w:r>
    </w:p>
    <w:p w:rsidR="00160D7B" w:rsidRDefault="00160D7B" w:rsidP="00C9625D">
      <w:pPr>
        <w:numPr>
          <w:ilvl w:val="0"/>
          <w:numId w:val="7"/>
        </w:numPr>
      </w:pPr>
      <w:r>
        <w:t xml:space="preserve">Félix </w:t>
      </w:r>
      <w:r w:rsidR="00CE6845">
        <w:t xml:space="preserve">Delage-Laurin, agent de développement et de communication </w:t>
      </w:r>
      <w:r w:rsidR="004C6482">
        <w:br/>
      </w:r>
      <w:r w:rsidR="00CE6845">
        <w:t>Association multiethnique pour l’intégration des personnes handicapées</w:t>
      </w:r>
    </w:p>
    <w:p w:rsidR="007F28D2" w:rsidRDefault="00160D7B" w:rsidP="00C9625D">
      <w:pPr>
        <w:numPr>
          <w:ilvl w:val="0"/>
          <w:numId w:val="7"/>
        </w:numPr>
      </w:pPr>
      <w:r>
        <w:t>Sophie Lanctôt, directrice générale</w:t>
      </w:r>
      <w:r w:rsidR="004C6482">
        <w:br/>
      </w:r>
      <w:r>
        <w:t>Société Logique</w:t>
      </w:r>
    </w:p>
    <w:p w:rsidR="00160D7B" w:rsidRDefault="00160D7B" w:rsidP="00C9625D">
      <w:pPr>
        <w:numPr>
          <w:ilvl w:val="0"/>
          <w:numId w:val="7"/>
        </w:numPr>
      </w:pPr>
      <w:r>
        <w:t xml:space="preserve">Valérie Huot, directrice adjointe </w:t>
      </w:r>
      <w:r w:rsidR="004C6482">
        <w:br/>
      </w:r>
      <w:r w:rsidR="00CE6845">
        <w:t>Regroupement des usagers du transport adapté et accessible de l’île de Montréal</w:t>
      </w:r>
    </w:p>
    <w:p w:rsidR="00160D7B" w:rsidRDefault="002C313A" w:rsidP="00C9625D">
      <w:pPr>
        <w:numPr>
          <w:ilvl w:val="0"/>
          <w:numId w:val="7"/>
        </w:numPr>
      </w:pPr>
      <w:r>
        <w:t>Yvon Provencher, agent de développement et de communication</w:t>
      </w:r>
      <w:r w:rsidR="004C6482">
        <w:br/>
      </w:r>
      <w:r>
        <w:t>Regroupement des aveugles et amblyopes du Montréal métropolitain</w:t>
      </w:r>
    </w:p>
    <w:p w:rsidR="00CE6845" w:rsidRDefault="00CE6845" w:rsidP="008F5985"/>
    <w:p w:rsidR="000D7436" w:rsidRDefault="000D7436" w:rsidP="008F5985"/>
    <w:p w:rsidR="009D4EF2" w:rsidRDefault="001C3B70" w:rsidP="008F5985">
      <w:r>
        <w:t>Nous tenons à remercier tous les organismes</w:t>
      </w:r>
      <w:r w:rsidR="004C6482">
        <w:t>, membres et partenaires,</w:t>
      </w:r>
      <w:r>
        <w:t xml:space="preserve"> qui ont participé à notre activité contributive c</w:t>
      </w:r>
      <w:r w:rsidR="000D7436">
        <w:t>itoyenne du 25 septembre 2019 (voir annexe 2)</w:t>
      </w:r>
      <w:r w:rsidR="009D4EF2">
        <w:t xml:space="preserve">. </w:t>
      </w:r>
    </w:p>
    <w:p w:rsidR="0058559B" w:rsidRDefault="0058559B" w:rsidP="008F5985"/>
    <w:p w:rsidR="007F28D2" w:rsidRDefault="007F28D2" w:rsidP="008F5985">
      <w:pPr>
        <w:rPr>
          <w:rFonts w:eastAsiaTheme="majorEastAsia" w:cstheme="majorBidi"/>
          <w:color w:val="404040" w:themeColor="text1" w:themeTint="BF"/>
          <w:sz w:val="36"/>
          <w:szCs w:val="36"/>
        </w:rPr>
      </w:pPr>
      <w:r>
        <w:br w:type="page"/>
      </w:r>
    </w:p>
    <w:p w:rsidR="006B294E" w:rsidRDefault="007129FB" w:rsidP="006B294E">
      <w:pPr>
        <w:pStyle w:val="Heading1"/>
        <w:numPr>
          <w:ilvl w:val="0"/>
          <w:numId w:val="0"/>
        </w:numPr>
        <w:rPr>
          <w:noProof/>
        </w:rPr>
      </w:pPr>
      <w:bookmarkStart w:id="5" w:name="_Toc23157416"/>
      <w:bookmarkStart w:id="6" w:name="_Toc23162818"/>
      <w:bookmarkStart w:id="7" w:name="_Toc23168353"/>
      <w:bookmarkStart w:id="8" w:name="_Toc23187645"/>
      <w:bookmarkStart w:id="9" w:name="_Toc23187698"/>
      <w:bookmarkStart w:id="10" w:name="_Toc23187763"/>
      <w:bookmarkStart w:id="11" w:name="_Toc23187800"/>
      <w:bookmarkStart w:id="12" w:name="_Toc23297241"/>
      <w:bookmarkStart w:id="13" w:name="_Toc23781041"/>
      <w:bookmarkStart w:id="14" w:name="_Toc23781675"/>
      <w:r w:rsidRPr="00D47FB9">
        <w:lastRenderedPageBreak/>
        <w:t>Table des matières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E57EA" w:rsidRPr="00D47FB9">
        <w:t xml:space="preserve"> </w:t>
      </w:r>
      <w:r w:rsidR="00F84B0A" w:rsidRPr="00D47FB9">
        <w:fldChar w:fldCharType="begin"/>
      </w:r>
      <w:r w:rsidR="00F84B0A" w:rsidRPr="00D47FB9">
        <w:instrText xml:space="preserve"> TOC \o "1-2" \h \z \u </w:instrText>
      </w:r>
      <w:r w:rsidR="00F84B0A" w:rsidRPr="00D47FB9">
        <w:fldChar w:fldCharType="separate"/>
      </w:r>
    </w:p>
    <w:p w:rsidR="006B294E" w:rsidRDefault="006B294E">
      <w:pPr>
        <w:pStyle w:val="TOC1"/>
        <w:tabs>
          <w:tab w:val="left" w:pos="440"/>
          <w:tab w:val="right" w:leader="dot" w:pos="9350"/>
        </w:tabs>
        <w:rPr>
          <w:rFonts w:asciiTheme="minorHAnsi" w:hAnsiTheme="minorHAnsi"/>
          <w:noProof/>
          <w:sz w:val="22"/>
          <w:lang w:eastAsia="fr-FR"/>
        </w:rPr>
      </w:pPr>
      <w:hyperlink w:anchor="_Toc23781676" w:history="1">
        <w:r w:rsidRPr="00F76FB9">
          <w:rPr>
            <w:rStyle w:val="Hyperlink"/>
            <w:noProof/>
          </w:rPr>
          <w:t>1</w:t>
        </w:r>
        <w:r>
          <w:rPr>
            <w:rFonts w:asciiTheme="minorHAnsi" w:hAnsiTheme="minorHAnsi"/>
            <w:noProof/>
            <w:sz w:val="22"/>
            <w:lang w:eastAsia="fr-FR"/>
          </w:rPr>
          <w:tab/>
        </w:r>
        <w:r w:rsidRPr="00F76FB9">
          <w:rPr>
            <w:rStyle w:val="Hyperlink"/>
            <w:noProof/>
          </w:rPr>
          <w:t>Quelques définitions</w:t>
        </w:r>
        <w:r>
          <w:rPr>
            <w:noProof/>
            <w:webHidden/>
          </w:rPr>
          <w:tab/>
        </w:r>
        <w:r>
          <w:rPr>
            <w:noProof/>
            <w:webHidden/>
          </w:rPr>
          <w:fldChar w:fldCharType="begin"/>
        </w:r>
        <w:r>
          <w:rPr>
            <w:noProof/>
            <w:webHidden/>
          </w:rPr>
          <w:instrText xml:space="preserve"> PAGEREF _Toc23781676 \h </w:instrText>
        </w:r>
        <w:r>
          <w:rPr>
            <w:noProof/>
            <w:webHidden/>
          </w:rPr>
        </w:r>
        <w:r>
          <w:rPr>
            <w:noProof/>
            <w:webHidden/>
          </w:rPr>
          <w:fldChar w:fldCharType="separate"/>
        </w:r>
        <w:r>
          <w:rPr>
            <w:noProof/>
            <w:webHidden/>
          </w:rPr>
          <w:t>4</w:t>
        </w:r>
        <w:r>
          <w:rPr>
            <w:noProof/>
            <w:webHidden/>
          </w:rPr>
          <w:fldChar w:fldCharType="end"/>
        </w:r>
      </w:hyperlink>
    </w:p>
    <w:p w:rsidR="006B294E" w:rsidRDefault="006B294E">
      <w:pPr>
        <w:pStyle w:val="TOC1"/>
        <w:tabs>
          <w:tab w:val="left" w:pos="440"/>
          <w:tab w:val="right" w:leader="dot" w:pos="9350"/>
        </w:tabs>
        <w:rPr>
          <w:rFonts w:asciiTheme="minorHAnsi" w:hAnsiTheme="minorHAnsi"/>
          <w:noProof/>
          <w:sz w:val="22"/>
          <w:lang w:eastAsia="fr-FR"/>
        </w:rPr>
      </w:pPr>
      <w:hyperlink w:anchor="_Toc23781677" w:history="1">
        <w:r w:rsidRPr="00F76FB9">
          <w:rPr>
            <w:rStyle w:val="Hyperlink"/>
            <w:noProof/>
          </w:rPr>
          <w:t>2</w:t>
        </w:r>
        <w:r>
          <w:rPr>
            <w:rFonts w:asciiTheme="minorHAnsi" w:hAnsiTheme="minorHAnsi"/>
            <w:noProof/>
            <w:sz w:val="22"/>
            <w:lang w:eastAsia="fr-FR"/>
          </w:rPr>
          <w:tab/>
        </w:r>
        <w:r w:rsidRPr="00F76FB9">
          <w:rPr>
            <w:rStyle w:val="Hyperlink"/>
            <w:noProof/>
          </w:rPr>
          <w:t>Préambule</w:t>
        </w:r>
        <w:r>
          <w:rPr>
            <w:noProof/>
            <w:webHidden/>
          </w:rPr>
          <w:tab/>
        </w:r>
        <w:r>
          <w:rPr>
            <w:noProof/>
            <w:webHidden/>
          </w:rPr>
          <w:fldChar w:fldCharType="begin"/>
        </w:r>
        <w:r>
          <w:rPr>
            <w:noProof/>
            <w:webHidden/>
          </w:rPr>
          <w:instrText xml:space="preserve"> PAGEREF _Toc23781677 \h </w:instrText>
        </w:r>
        <w:r>
          <w:rPr>
            <w:noProof/>
            <w:webHidden/>
          </w:rPr>
        </w:r>
        <w:r>
          <w:rPr>
            <w:noProof/>
            <w:webHidden/>
          </w:rPr>
          <w:fldChar w:fldCharType="separate"/>
        </w:r>
        <w:r>
          <w:rPr>
            <w:noProof/>
            <w:webHidden/>
          </w:rPr>
          <w:t>6</w:t>
        </w:r>
        <w:r>
          <w:rPr>
            <w:noProof/>
            <w:webHidden/>
          </w:rPr>
          <w:fldChar w:fldCharType="end"/>
        </w:r>
      </w:hyperlink>
    </w:p>
    <w:p w:rsidR="006B294E" w:rsidRDefault="006B294E">
      <w:pPr>
        <w:pStyle w:val="TOC1"/>
        <w:tabs>
          <w:tab w:val="left" w:pos="440"/>
          <w:tab w:val="right" w:leader="dot" w:pos="9350"/>
        </w:tabs>
        <w:rPr>
          <w:rFonts w:asciiTheme="minorHAnsi" w:hAnsiTheme="minorHAnsi"/>
          <w:noProof/>
          <w:sz w:val="22"/>
          <w:lang w:eastAsia="fr-FR"/>
        </w:rPr>
      </w:pPr>
      <w:hyperlink w:anchor="_Toc23781678" w:history="1">
        <w:r w:rsidRPr="00F76FB9">
          <w:rPr>
            <w:rStyle w:val="Hyperlink"/>
            <w:noProof/>
          </w:rPr>
          <w:t>3</w:t>
        </w:r>
        <w:r>
          <w:rPr>
            <w:rFonts w:asciiTheme="minorHAnsi" w:hAnsiTheme="minorHAnsi"/>
            <w:noProof/>
            <w:sz w:val="22"/>
            <w:lang w:eastAsia="fr-FR"/>
          </w:rPr>
          <w:tab/>
        </w:r>
        <w:r w:rsidRPr="00F76FB9">
          <w:rPr>
            <w:rStyle w:val="Hyperlink"/>
            <w:noProof/>
          </w:rPr>
          <w:t>Introduction</w:t>
        </w:r>
        <w:r>
          <w:rPr>
            <w:noProof/>
            <w:webHidden/>
          </w:rPr>
          <w:tab/>
        </w:r>
        <w:r>
          <w:rPr>
            <w:noProof/>
            <w:webHidden/>
          </w:rPr>
          <w:fldChar w:fldCharType="begin"/>
        </w:r>
        <w:r>
          <w:rPr>
            <w:noProof/>
            <w:webHidden/>
          </w:rPr>
          <w:instrText xml:space="preserve"> PAGEREF _Toc23781678 \h </w:instrText>
        </w:r>
        <w:r>
          <w:rPr>
            <w:noProof/>
            <w:webHidden/>
          </w:rPr>
        </w:r>
        <w:r>
          <w:rPr>
            <w:noProof/>
            <w:webHidden/>
          </w:rPr>
          <w:fldChar w:fldCharType="separate"/>
        </w:r>
        <w:r>
          <w:rPr>
            <w:noProof/>
            <w:webHidden/>
          </w:rPr>
          <w:t>9</w:t>
        </w:r>
        <w:r>
          <w:rPr>
            <w:noProof/>
            <w:webHidden/>
          </w:rPr>
          <w:fldChar w:fldCharType="end"/>
        </w:r>
      </w:hyperlink>
    </w:p>
    <w:p w:rsidR="006B294E" w:rsidRDefault="006B294E">
      <w:pPr>
        <w:pStyle w:val="TOC1"/>
        <w:tabs>
          <w:tab w:val="left" w:pos="440"/>
          <w:tab w:val="right" w:leader="dot" w:pos="9350"/>
        </w:tabs>
        <w:rPr>
          <w:rFonts w:asciiTheme="minorHAnsi" w:hAnsiTheme="minorHAnsi"/>
          <w:noProof/>
          <w:sz w:val="22"/>
          <w:lang w:eastAsia="fr-FR"/>
        </w:rPr>
      </w:pPr>
      <w:hyperlink w:anchor="_Toc23781679" w:history="1">
        <w:r w:rsidRPr="00F76FB9">
          <w:rPr>
            <w:rStyle w:val="Hyperlink"/>
            <w:noProof/>
          </w:rPr>
          <w:t>4</w:t>
        </w:r>
        <w:r>
          <w:rPr>
            <w:rFonts w:asciiTheme="minorHAnsi" w:hAnsiTheme="minorHAnsi"/>
            <w:noProof/>
            <w:sz w:val="22"/>
            <w:lang w:eastAsia="fr-FR"/>
          </w:rPr>
          <w:tab/>
        </w:r>
        <w:r w:rsidRPr="00F76FB9">
          <w:rPr>
            <w:rStyle w:val="Hyperlink"/>
            <w:noProof/>
          </w:rPr>
          <w:t>Discrimination et handicap</w:t>
        </w:r>
        <w:r>
          <w:rPr>
            <w:noProof/>
            <w:webHidden/>
          </w:rPr>
          <w:tab/>
        </w:r>
        <w:r>
          <w:rPr>
            <w:noProof/>
            <w:webHidden/>
          </w:rPr>
          <w:fldChar w:fldCharType="begin"/>
        </w:r>
        <w:r>
          <w:rPr>
            <w:noProof/>
            <w:webHidden/>
          </w:rPr>
          <w:instrText xml:space="preserve"> PAGEREF _Toc23781679 \h </w:instrText>
        </w:r>
        <w:r>
          <w:rPr>
            <w:noProof/>
            <w:webHidden/>
          </w:rPr>
        </w:r>
        <w:r>
          <w:rPr>
            <w:noProof/>
            <w:webHidden/>
          </w:rPr>
          <w:fldChar w:fldCharType="separate"/>
        </w:r>
        <w:r>
          <w:rPr>
            <w:noProof/>
            <w:webHidden/>
          </w:rPr>
          <w:t>10</w:t>
        </w:r>
        <w:r>
          <w:rPr>
            <w:noProof/>
            <w:webHidden/>
          </w:rPr>
          <w:fldChar w:fldCharType="end"/>
        </w:r>
      </w:hyperlink>
    </w:p>
    <w:p w:rsidR="006B294E" w:rsidRDefault="006B294E">
      <w:pPr>
        <w:pStyle w:val="TOC2"/>
        <w:tabs>
          <w:tab w:val="left" w:pos="880"/>
          <w:tab w:val="right" w:leader="dot" w:pos="9350"/>
        </w:tabs>
        <w:rPr>
          <w:rFonts w:asciiTheme="minorHAnsi" w:hAnsiTheme="minorHAnsi"/>
          <w:noProof/>
          <w:sz w:val="22"/>
          <w:lang w:eastAsia="fr-FR"/>
        </w:rPr>
      </w:pPr>
      <w:hyperlink w:anchor="_Toc23781680" w:history="1">
        <w:r w:rsidRPr="00F76FB9">
          <w:rPr>
            <w:rStyle w:val="Hyperlink"/>
            <w:noProof/>
          </w:rPr>
          <w:t>4.1</w:t>
        </w:r>
        <w:r>
          <w:rPr>
            <w:rFonts w:asciiTheme="minorHAnsi" w:hAnsiTheme="minorHAnsi"/>
            <w:noProof/>
            <w:sz w:val="22"/>
            <w:lang w:eastAsia="fr-FR"/>
          </w:rPr>
          <w:tab/>
        </w:r>
        <w:r w:rsidRPr="00F76FB9">
          <w:rPr>
            <w:rStyle w:val="Hyperlink"/>
            <w:noProof/>
          </w:rPr>
          <w:t>Fondements juridiques</w:t>
        </w:r>
        <w:r>
          <w:rPr>
            <w:noProof/>
            <w:webHidden/>
          </w:rPr>
          <w:tab/>
        </w:r>
        <w:r>
          <w:rPr>
            <w:noProof/>
            <w:webHidden/>
          </w:rPr>
          <w:fldChar w:fldCharType="begin"/>
        </w:r>
        <w:r>
          <w:rPr>
            <w:noProof/>
            <w:webHidden/>
          </w:rPr>
          <w:instrText xml:space="preserve"> PAGEREF _Toc23781680 \h </w:instrText>
        </w:r>
        <w:r>
          <w:rPr>
            <w:noProof/>
            <w:webHidden/>
          </w:rPr>
        </w:r>
        <w:r>
          <w:rPr>
            <w:noProof/>
            <w:webHidden/>
          </w:rPr>
          <w:fldChar w:fldCharType="separate"/>
        </w:r>
        <w:r>
          <w:rPr>
            <w:noProof/>
            <w:webHidden/>
          </w:rPr>
          <w:t>10</w:t>
        </w:r>
        <w:r>
          <w:rPr>
            <w:noProof/>
            <w:webHidden/>
          </w:rPr>
          <w:fldChar w:fldCharType="end"/>
        </w:r>
      </w:hyperlink>
    </w:p>
    <w:p w:rsidR="006B294E" w:rsidRDefault="006B294E">
      <w:pPr>
        <w:pStyle w:val="TOC2"/>
        <w:tabs>
          <w:tab w:val="left" w:pos="880"/>
          <w:tab w:val="right" w:leader="dot" w:pos="9350"/>
        </w:tabs>
        <w:rPr>
          <w:rFonts w:asciiTheme="minorHAnsi" w:hAnsiTheme="minorHAnsi"/>
          <w:noProof/>
          <w:sz w:val="22"/>
          <w:lang w:eastAsia="fr-FR"/>
        </w:rPr>
      </w:pPr>
      <w:hyperlink w:anchor="_Toc23781681" w:history="1">
        <w:r w:rsidRPr="00F76FB9">
          <w:rPr>
            <w:rStyle w:val="Hyperlink"/>
            <w:noProof/>
          </w:rPr>
          <w:t>4.2</w:t>
        </w:r>
        <w:r>
          <w:rPr>
            <w:rFonts w:asciiTheme="minorHAnsi" w:hAnsiTheme="minorHAnsi"/>
            <w:noProof/>
            <w:sz w:val="22"/>
            <w:lang w:eastAsia="fr-FR"/>
          </w:rPr>
          <w:tab/>
        </w:r>
        <w:r w:rsidRPr="00F76FB9">
          <w:rPr>
            <w:rStyle w:val="Hyperlink"/>
            <w:noProof/>
          </w:rPr>
          <w:t>Reconnaître la discrimination</w:t>
        </w:r>
        <w:r>
          <w:rPr>
            <w:noProof/>
            <w:webHidden/>
          </w:rPr>
          <w:tab/>
        </w:r>
        <w:r>
          <w:rPr>
            <w:noProof/>
            <w:webHidden/>
          </w:rPr>
          <w:fldChar w:fldCharType="begin"/>
        </w:r>
        <w:r>
          <w:rPr>
            <w:noProof/>
            <w:webHidden/>
          </w:rPr>
          <w:instrText xml:space="preserve"> PAGEREF _Toc23781681 \h </w:instrText>
        </w:r>
        <w:r>
          <w:rPr>
            <w:noProof/>
            <w:webHidden/>
          </w:rPr>
        </w:r>
        <w:r>
          <w:rPr>
            <w:noProof/>
            <w:webHidden/>
          </w:rPr>
          <w:fldChar w:fldCharType="separate"/>
        </w:r>
        <w:r>
          <w:rPr>
            <w:noProof/>
            <w:webHidden/>
          </w:rPr>
          <w:t>11</w:t>
        </w:r>
        <w:r>
          <w:rPr>
            <w:noProof/>
            <w:webHidden/>
          </w:rPr>
          <w:fldChar w:fldCharType="end"/>
        </w:r>
      </w:hyperlink>
    </w:p>
    <w:p w:rsidR="006B294E" w:rsidRDefault="006B294E">
      <w:pPr>
        <w:pStyle w:val="TOC1"/>
        <w:tabs>
          <w:tab w:val="left" w:pos="440"/>
          <w:tab w:val="right" w:leader="dot" w:pos="9350"/>
        </w:tabs>
        <w:rPr>
          <w:rFonts w:asciiTheme="minorHAnsi" w:hAnsiTheme="minorHAnsi"/>
          <w:noProof/>
          <w:sz w:val="22"/>
          <w:lang w:eastAsia="fr-FR"/>
        </w:rPr>
      </w:pPr>
      <w:hyperlink w:anchor="_Toc23781682" w:history="1">
        <w:r w:rsidRPr="00F76FB9">
          <w:rPr>
            <w:rStyle w:val="Hyperlink"/>
            <w:noProof/>
          </w:rPr>
          <w:t>5</w:t>
        </w:r>
        <w:r>
          <w:rPr>
            <w:rFonts w:asciiTheme="minorHAnsi" w:hAnsiTheme="minorHAnsi"/>
            <w:noProof/>
            <w:sz w:val="22"/>
            <w:lang w:eastAsia="fr-FR"/>
          </w:rPr>
          <w:tab/>
        </w:r>
        <w:r w:rsidRPr="00F76FB9">
          <w:rPr>
            <w:rStyle w:val="Hyperlink"/>
            <w:noProof/>
          </w:rPr>
          <w:t>Aménagement du territoire - Aménagements extérieurs</w:t>
        </w:r>
        <w:r>
          <w:rPr>
            <w:noProof/>
            <w:webHidden/>
          </w:rPr>
          <w:tab/>
        </w:r>
        <w:r>
          <w:rPr>
            <w:noProof/>
            <w:webHidden/>
          </w:rPr>
          <w:fldChar w:fldCharType="begin"/>
        </w:r>
        <w:r>
          <w:rPr>
            <w:noProof/>
            <w:webHidden/>
          </w:rPr>
          <w:instrText xml:space="preserve"> PAGEREF _Toc23781682 \h </w:instrText>
        </w:r>
        <w:r>
          <w:rPr>
            <w:noProof/>
            <w:webHidden/>
          </w:rPr>
        </w:r>
        <w:r>
          <w:rPr>
            <w:noProof/>
            <w:webHidden/>
          </w:rPr>
          <w:fldChar w:fldCharType="separate"/>
        </w:r>
        <w:r>
          <w:rPr>
            <w:noProof/>
            <w:webHidden/>
          </w:rPr>
          <w:t>13</w:t>
        </w:r>
        <w:r>
          <w:rPr>
            <w:noProof/>
            <w:webHidden/>
          </w:rPr>
          <w:fldChar w:fldCharType="end"/>
        </w:r>
      </w:hyperlink>
    </w:p>
    <w:p w:rsidR="006B294E" w:rsidRDefault="006B294E">
      <w:pPr>
        <w:pStyle w:val="TOC2"/>
        <w:tabs>
          <w:tab w:val="left" w:pos="880"/>
          <w:tab w:val="right" w:leader="dot" w:pos="9350"/>
        </w:tabs>
        <w:rPr>
          <w:rFonts w:asciiTheme="minorHAnsi" w:hAnsiTheme="minorHAnsi"/>
          <w:noProof/>
          <w:sz w:val="22"/>
          <w:lang w:eastAsia="fr-FR"/>
        </w:rPr>
      </w:pPr>
      <w:hyperlink w:anchor="_Toc23781683" w:history="1">
        <w:r w:rsidRPr="00F76FB9">
          <w:rPr>
            <w:rStyle w:val="Hyperlink"/>
            <w:noProof/>
          </w:rPr>
          <w:t>5.1</w:t>
        </w:r>
        <w:r>
          <w:rPr>
            <w:rFonts w:asciiTheme="minorHAnsi" w:hAnsiTheme="minorHAnsi"/>
            <w:noProof/>
            <w:sz w:val="22"/>
            <w:lang w:eastAsia="fr-FR"/>
          </w:rPr>
          <w:tab/>
        </w:r>
        <w:r w:rsidRPr="00F76FB9">
          <w:rPr>
            <w:rStyle w:val="Hyperlink"/>
            <w:noProof/>
          </w:rPr>
          <w:t>Constats</w:t>
        </w:r>
        <w:r>
          <w:rPr>
            <w:noProof/>
            <w:webHidden/>
          </w:rPr>
          <w:tab/>
        </w:r>
        <w:r>
          <w:rPr>
            <w:noProof/>
            <w:webHidden/>
          </w:rPr>
          <w:fldChar w:fldCharType="begin"/>
        </w:r>
        <w:r>
          <w:rPr>
            <w:noProof/>
            <w:webHidden/>
          </w:rPr>
          <w:instrText xml:space="preserve"> PAGEREF _Toc23781683 \h </w:instrText>
        </w:r>
        <w:r>
          <w:rPr>
            <w:noProof/>
            <w:webHidden/>
          </w:rPr>
        </w:r>
        <w:r>
          <w:rPr>
            <w:noProof/>
            <w:webHidden/>
          </w:rPr>
          <w:fldChar w:fldCharType="separate"/>
        </w:r>
        <w:r>
          <w:rPr>
            <w:noProof/>
            <w:webHidden/>
          </w:rPr>
          <w:t>13</w:t>
        </w:r>
        <w:r>
          <w:rPr>
            <w:noProof/>
            <w:webHidden/>
          </w:rPr>
          <w:fldChar w:fldCharType="end"/>
        </w:r>
      </w:hyperlink>
    </w:p>
    <w:p w:rsidR="006B294E" w:rsidRDefault="006B294E">
      <w:pPr>
        <w:pStyle w:val="TOC2"/>
        <w:tabs>
          <w:tab w:val="left" w:pos="880"/>
          <w:tab w:val="right" w:leader="dot" w:pos="9350"/>
        </w:tabs>
        <w:rPr>
          <w:rFonts w:asciiTheme="minorHAnsi" w:hAnsiTheme="minorHAnsi"/>
          <w:noProof/>
          <w:sz w:val="22"/>
          <w:lang w:eastAsia="fr-FR"/>
        </w:rPr>
      </w:pPr>
      <w:hyperlink w:anchor="_Toc23781684" w:history="1">
        <w:r w:rsidRPr="00F76FB9">
          <w:rPr>
            <w:rStyle w:val="Hyperlink"/>
            <w:noProof/>
          </w:rPr>
          <w:t>5.2</w:t>
        </w:r>
        <w:r>
          <w:rPr>
            <w:rFonts w:asciiTheme="minorHAnsi" w:hAnsiTheme="minorHAnsi"/>
            <w:noProof/>
            <w:sz w:val="22"/>
            <w:lang w:eastAsia="fr-FR"/>
          </w:rPr>
          <w:tab/>
        </w:r>
        <w:r w:rsidRPr="00F76FB9">
          <w:rPr>
            <w:rStyle w:val="Hyperlink"/>
            <w:noProof/>
          </w:rPr>
          <w:t>Situations de discrimination et atteinte à l’exercice des droits</w:t>
        </w:r>
        <w:r>
          <w:rPr>
            <w:noProof/>
            <w:webHidden/>
          </w:rPr>
          <w:tab/>
        </w:r>
        <w:r>
          <w:rPr>
            <w:noProof/>
            <w:webHidden/>
          </w:rPr>
          <w:fldChar w:fldCharType="begin"/>
        </w:r>
        <w:r>
          <w:rPr>
            <w:noProof/>
            <w:webHidden/>
          </w:rPr>
          <w:instrText xml:space="preserve"> PAGEREF _Toc23781684 \h </w:instrText>
        </w:r>
        <w:r>
          <w:rPr>
            <w:noProof/>
            <w:webHidden/>
          </w:rPr>
        </w:r>
        <w:r>
          <w:rPr>
            <w:noProof/>
            <w:webHidden/>
          </w:rPr>
          <w:fldChar w:fldCharType="separate"/>
        </w:r>
        <w:r>
          <w:rPr>
            <w:noProof/>
            <w:webHidden/>
          </w:rPr>
          <w:t>15</w:t>
        </w:r>
        <w:r>
          <w:rPr>
            <w:noProof/>
            <w:webHidden/>
          </w:rPr>
          <w:fldChar w:fldCharType="end"/>
        </w:r>
      </w:hyperlink>
    </w:p>
    <w:p w:rsidR="006B294E" w:rsidRDefault="006B294E">
      <w:pPr>
        <w:pStyle w:val="TOC1"/>
        <w:tabs>
          <w:tab w:val="left" w:pos="440"/>
          <w:tab w:val="right" w:leader="dot" w:pos="9350"/>
        </w:tabs>
        <w:rPr>
          <w:rFonts w:asciiTheme="minorHAnsi" w:hAnsiTheme="minorHAnsi"/>
          <w:noProof/>
          <w:sz w:val="22"/>
          <w:lang w:eastAsia="fr-FR"/>
        </w:rPr>
      </w:pPr>
      <w:hyperlink w:anchor="_Toc23781685" w:history="1">
        <w:r w:rsidRPr="00F76FB9">
          <w:rPr>
            <w:rStyle w:val="Hyperlink"/>
            <w:noProof/>
          </w:rPr>
          <w:t>6</w:t>
        </w:r>
        <w:r>
          <w:rPr>
            <w:rFonts w:asciiTheme="minorHAnsi" w:hAnsiTheme="minorHAnsi"/>
            <w:noProof/>
            <w:sz w:val="22"/>
            <w:lang w:eastAsia="fr-FR"/>
          </w:rPr>
          <w:tab/>
        </w:r>
        <w:r w:rsidRPr="00F76FB9">
          <w:rPr>
            <w:rStyle w:val="Hyperlink"/>
            <w:noProof/>
          </w:rPr>
          <w:t>Aménagement du territoire – Environnement bâti</w:t>
        </w:r>
        <w:r>
          <w:rPr>
            <w:noProof/>
            <w:webHidden/>
          </w:rPr>
          <w:tab/>
        </w:r>
        <w:r>
          <w:rPr>
            <w:noProof/>
            <w:webHidden/>
          </w:rPr>
          <w:fldChar w:fldCharType="begin"/>
        </w:r>
        <w:r>
          <w:rPr>
            <w:noProof/>
            <w:webHidden/>
          </w:rPr>
          <w:instrText xml:space="preserve"> PAGEREF _Toc23781685 \h </w:instrText>
        </w:r>
        <w:r>
          <w:rPr>
            <w:noProof/>
            <w:webHidden/>
          </w:rPr>
        </w:r>
        <w:r>
          <w:rPr>
            <w:noProof/>
            <w:webHidden/>
          </w:rPr>
          <w:fldChar w:fldCharType="separate"/>
        </w:r>
        <w:r>
          <w:rPr>
            <w:noProof/>
            <w:webHidden/>
          </w:rPr>
          <w:t>16</w:t>
        </w:r>
        <w:r>
          <w:rPr>
            <w:noProof/>
            <w:webHidden/>
          </w:rPr>
          <w:fldChar w:fldCharType="end"/>
        </w:r>
      </w:hyperlink>
    </w:p>
    <w:p w:rsidR="006B294E" w:rsidRDefault="006B294E">
      <w:pPr>
        <w:pStyle w:val="TOC2"/>
        <w:tabs>
          <w:tab w:val="left" w:pos="880"/>
          <w:tab w:val="right" w:leader="dot" w:pos="9350"/>
        </w:tabs>
        <w:rPr>
          <w:rFonts w:asciiTheme="minorHAnsi" w:hAnsiTheme="minorHAnsi"/>
          <w:noProof/>
          <w:sz w:val="22"/>
          <w:lang w:eastAsia="fr-FR"/>
        </w:rPr>
      </w:pPr>
      <w:hyperlink w:anchor="_Toc23781686" w:history="1">
        <w:r w:rsidRPr="00F76FB9">
          <w:rPr>
            <w:rStyle w:val="Hyperlink"/>
            <w:noProof/>
          </w:rPr>
          <w:t>6.1</w:t>
        </w:r>
        <w:r>
          <w:rPr>
            <w:rFonts w:asciiTheme="minorHAnsi" w:hAnsiTheme="minorHAnsi"/>
            <w:noProof/>
            <w:sz w:val="22"/>
            <w:lang w:eastAsia="fr-FR"/>
          </w:rPr>
          <w:tab/>
        </w:r>
        <w:r w:rsidRPr="00F76FB9">
          <w:rPr>
            <w:rStyle w:val="Hyperlink"/>
            <w:noProof/>
          </w:rPr>
          <w:t>Constats</w:t>
        </w:r>
        <w:r>
          <w:rPr>
            <w:noProof/>
            <w:webHidden/>
          </w:rPr>
          <w:tab/>
        </w:r>
        <w:r>
          <w:rPr>
            <w:noProof/>
            <w:webHidden/>
          </w:rPr>
          <w:fldChar w:fldCharType="begin"/>
        </w:r>
        <w:r>
          <w:rPr>
            <w:noProof/>
            <w:webHidden/>
          </w:rPr>
          <w:instrText xml:space="preserve"> PAGEREF _Toc23781686 \h </w:instrText>
        </w:r>
        <w:r>
          <w:rPr>
            <w:noProof/>
            <w:webHidden/>
          </w:rPr>
        </w:r>
        <w:r>
          <w:rPr>
            <w:noProof/>
            <w:webHidden/>
          </w:rPr>
          <w:fldChar w:fldCharType="separate"/>
        </w:r>
        <w:r>
          <w:rPr>
            <w:noProof/>
            <w:webHidden/>
          </w:rPr>
          <w:t>16</w:t>
        </w:r>
        <w:r>
          <w:rPr>
            <w:noProof/>
            <w:webHidden/>
          </w:rPr>
          <w:fldChar w:fldCharType="end"/>
        </w:r>
      </w:hyperlink>
    </w:p>
    <w:p w:rsidR="006B294E" w:rsidRDefault="006B294E">
      <w:pPr>
        <w:pStyle w:val="TOC2"/>
        <w:tabs>
          <w:tab w:val="left" w:pos="880"/>
          <w:tab w:val="right" w:leader="dot" w:pos="9350"/>
        </w:tabs>
        <w:rPr>
          <w:rFonts w:asciiTheme="minorHAnsi" w:hAnsiTheme="minorHAnsi"/>
          <w:noProof/>
          <w:sz w:val="22"/>
          <w:lang w:eastAsia="fr-FR"/>
        </w:rPr>
      </w:pPr>
      <w:hyperlink w:anchor="_Toc23781687" w:history="1">
        <w:r w:rsidRPr="00F76FB9">
          <w:rPr>
            <w:rStyle w:val="Hyperlink"/>
            <w:noProof/>
          </w:rPr>
          <w:t>6.2</w:t>
        </w:r>
        <w:r>
          <w:rPr>
            <w:rFonts w:asciiTheme="minorHAnsi" w:hAnsiTheme="minorHAnsi"/>
            <w:noProof/>
            <w:sz w:val="22"/>
            <w:lang w:eastAsia="fr-FR"/>
          </w:rPr>
          <w:tab/>
        </w:r>
        <w:r w:rsidRPr="00F76FB9">
          <w:rPr>
            <w:rStyle w:val="Hyperlink"/>
            <w:noProof/>
          </w:rPr>
          <w:t>Situations de discrimination et atteinte à l’exercice des droits</w:t>
        </w:r>
        <w:r>
          <w:rPr>
            <w:noProof/>
            <w:webHidden/>
          </w:rPr>
          <w:tab/>
        </w:r>
        <w:r>
          <w:rPr>
            <w:noProof/>
            <w:webHidden/>
          </w:rPr>
          <w:fldChar w:fldCharType="begin"/>
        </w:r>
        <w:r>
          <w:rPr>
            <w:noProof/>
            <w:webHidden/>
          </w:rPr>
          <w:instrText xml:space="preserve"> PAGEREF _Toc23781687 \h </w:instrText>
        </w:r>
        <w:r>
          <w:rPr>
            <w:noProof/>
            <w:webHidden/>
          </w:rPr>
        </w:r>
        <w:r>
          <w:rPr>
            <w:noProof/>
            <w:webHidden/>
          </w:rPr>
          <w:fldChar w:fldCharType="separate"/>
        </w:r>
        <w:r>
          <w:rPr>
            <w:noProof/>
            <w:webHidden/>
          </w:rPr>
          <w:t>18</w:t>
        </w:r>
        <w:r>
          <w:rPr>
            <w:noProof/>
            <w:webHidden/>
          </w:rPr>
          <w:fldChar w:fldCharType="end"/>
        </w:r>
      </w:hyperlink>
    </w:p>
    <w:p w:rsidR="006B294E" w:rsidRDefault="006B294E">
      <w:pPr>
        <w:pStyle w:val="TOC1"/>
        <w:tabs>
          <w:tab w:val="left" w:pos="440"/>
          <w:tab w:val="right" w:leader="dot" w:pos="9350"/>
        </w:tabs>
        <w:rPr>
          <w:rFonts w:asciiTheme="minorHAnsi" w:hAnsiTheme="minorHAnsi"/>
          <w:noProof/>
          <w:sz w:val="22"/>
          <w:lang w:eastAsia="fr-FR"/>
        </w:rPr>
      </w:pPr>
      <w:hyperlink w:anchor="_Toc23781688" w:history="1">
        <w:r w:rsidRPr="00F76FB9">
          <w:rPr>
            <w:rStyle w:val="Hyperlink"/>
            <w:noProof/>
          </w:rPr>
          <w:t>7</w:t>
        </w:r>
        <w:r>
          <w:rPr>
            <w:rFonts w:asciiTheme="minorHAnsi" w:hAnsiTheme="minorHAnsi"/>
            <w:noProof/>
            <w:sz w:val="22"/>
            <w:lang w:eastAsia="fr-FR"/>
          </w:rPr>
          <w:tab/>
        </w:r>
        <w:r w:rsidRPr="00F76FB9">
          <w:rPr>
            <w:rStyle w:val="Hyperlink"/>
            <w:noProof/>
          </w:rPr>
          <w:t>Sports et loisirs</w:t>
        </w:r>
        <w:r>
          <w:rPr>
            <w:noProof/>
            <w:webHidden/>
          </w:rPr>
          <w:tab/>
        </w:r>
        <w:r>
          <w:rPr>
            <w:noProof/>
            <w:webHidden/>
          </w:rPr>
          <w:fldChar w:fldCharType="begin"/>
        </w:r>
        <w:r>
          <w:rPr>
            <w:noProof/>
            <w:webHidden/>
          </w:rPr>
          <w:instrText xml:space="preserve"> PAGEREF _Toc23781688 \h </w:instrText>
        </w:r>
        <w:r>
          <w:rPr>
            <w:noProof/>
            <w:webHidden/>
          </w:rPr>
        </w:r>
        <w:r>
          <w:rPr>
            <w:noProof/>
            <w:webHidden/>
          </w:rPr>
          <w:fldChar w:fldCharType="separate"/>
        </w:r>
        <w:r>
          <w:rPr>
            <w:noProof/>
            <w:webHidden/>
          </w:rPr>
          <w:t>19</w:t>
        </w:r>
        <w:r>
          <w:rPr>
            <w:noProof/>
            <w:webHidden/>
          </w:rPr>
          <w:fldChar w:fldCharType="end"/>
        </w:r>
      </w:hyperlink>
    </w:p>
    <w:p w:rsidR="006B294E" w:rsidRDefault="006B294E">
      <w:pPr>
        <w:pStyle w:val="TOC2"/>
        <w:tabs>
          <w:tab w:val="left" w:pos="880"/>
          <w:tab w:val="right" w:leader="dot" w:pos="9350"/>
        </w:tabs>
        <w:rPr>
          <w:rFonts w:asciiTheme="minorHAnsi" w:hAnsiTheme="minorHAnsi"/>
          <w:noProof/>
          <w:sz w:val="22"/>
          <w:lang w:eastAsia="fr-FR"/>
        </w:rPr>
      </w:pPr>
      <w:hyperlink w:anchor="_Toc23781689" w:history="1">
        <w:r w:rsidRPr="00F76FB9">
          <w:rPr>
            <w:rStyle w:val="Hyperlink"/>
            <w:noProof/>
          </w:rPr>
          <w:t>7.1</w:t>
        </w:r>
        <w:r>
          <w:rPr>
            <w:rFonts w:asciiTheme="minorHAnsi" w:hAnsiTheme="minorHAnsi"/>
            <w:noProof/>
            <w:sz w:val="22"/>
            <w:lang w:eastAsia="fr-FR"/>
          </w:rPr>
          <w:tab/>
        </w:r>
        <w:r w:rsidRPr="00F76FB9">
          <w:rPr>
            <w:rStyle w:val="Hyperlink"/>
            <w:noProof/>
          </w:rPr>
          <w:t>Constats</w:t>
        </w:r>
        <w:r>
          <w:rPr>
            <w:noProof/>
            <w:webHidden/>
          </w:rPr>
          <w:tab/>
        </w:r>
        <w:r>
          <w:rPr>
            <w:noProof/>
            <w:webHidden/>
          </w:rPr>
          <w:fldChar w:fldCharType="begin"/>
        </w:r>
        <w:r>
          <w:rPr>
            <w:noProof/>
            <w:webHidden/>
          </w:rPr>
          <w:instrText xml:space="preserve"> PAGEREF _Toc23781689 \h </w:instrText>
        </w:r>
        <w:r>
          <w:rPr>
            <w:noProof/>
            <w:webHidden/>
          </w:rPr>
        </w:r>
        <w:r>
          <w:rPr>
            <w:noProof/>
            <w:webHidden/>
          </w:rPr>
          <w:fldChar w:fldCharType="separate"/>
        </w:r>
        <w:r>
          <w:rPr>
            <w:noProof/>
            <w:webHidden/>
          </w:rPr>
          <w:t>19</w:t>
        </w:r>
        <w:r>
          <w:rPr>
            <w:noProof/>
            <w:webHidden/>
          </w:rPr>
          <w:fldChar w:fldCharType="end"/>
        </w:r>
      </w:hyperlink>
    </w:p>
    <w:p w:rsidR="006B294E" w:rsidRDefault="006B294E">
      <w:pPr>
        <w:pStyle w:val="TOC2"/>
        <w:tabs>
          <w:tab w:val="left" w:pos="880"/>
          <w:tab w:val="right" w:leader="dot" w:pos="9350"/>
        </w:tabs>
        <w:rPr>
          <w:rFonts w:asciiTheme="minorHAnsi" w:hAnsiTheme="minorHAnsi"/>
          <w:noProof/>
          <w:sz w:val="22"/>
          <w:lang w:eastAsia="fr-FR"/>
        </w:rPr>
      </w:pPr>
      <w:hyperlink w:anchor="_Toc23781690" w:history="1">
        <w:r w:rsidRPr="00F76FB9">
          <w:rPr>
            <w:rStyle w:val="Hyperlink"/>
            <w:noProof/>
            <w:lang w:val="fr-CA"/>
          </w:rPr>
          <w:t>7.2</w:t>
        </w:r>
        <w:r>
          <w:rPr>
            <w:rFonts w:asciiTheme="minorHAnsi" w:hAnsiTheme="minorHAnsi"/>
            <w:noProof/>
            <w:sz w:val="22"/>
            <w:lang w:eastAsia="fr-FR"/>
          </w:rPr>
          <w:tab/>
        </w:r>
        <w:r w:rsidRPr="00F76FB9">
          <w:rPr>
            <w:rStyle w:val="Hyperlink"/>
            <w:noProof/>
            <w:lang w:val="fr-CA"/>
          </w:rPr>
          <w:t>Situations de discrimination et atteinte à l’exercice des droits</w:t>
        </w:r>
        <w:r>
          <w:rPr>
            <w:noProof/>
            <w:webHidden/>
          </w:rPr>
          <w:tab/>
        </w:r>
        <w:r>
          <w:rPr>
            <w:noProof/>
            <w:webHidden/>
          </w:rPr>
          <w:fldChar w:fldCharType="begin"/>
        </w:r>
        <w:r>
          <w:rPr>
            <w:noProof/>
            <w:webHidden/>
          </w:rPr>
          <w:instrText xml:space="preserve"> PAGEREF _Toc23781690 \h </w:instrText>
        </w:r>
        <w:r>
          <w:rPr>
            <w:noProof/>
            <w:webHidden/>
          </w:rPr>
        </w:r>
        <w:r>
          <w:rPr>
            <w:noProof/>
            <w:webHidden/>
          </w:rPr>
          <w:fldChar w:fldCharType="separate"/>
        </w:r>
        <w:r>
          <w:rPr>
            <w:noProof/>
            <w:webHidden/>
          </w:rPr>
          <w:t>20</w:t>
        </w:r>
        <w:r>
          <w:rPr>
            <w:noProof/>
            <w:webHidden/>
          </w:rPr>
          <w:fldChar w:fldCharType="end"/>
        </w:r>
      </w:hyperlink>
    </w:p>
    <w:p w:rsidR="006B294E" w:rsidRDefault="006B294E">
      <w:pPr>
        <w:pStyle w:val="TOC1"/>
        <w:tabs>
          <w:tab w:val="left" w:pos="440"/>
          <w:tab w:val="right" w:leader="dot" w:pos="9350"/>
        </w:tabs>
        <w:rPr>
          <w:rFonts w:asciiTheme="minorHAnsi" w:hAnsiTheme="minorHAnsi"/>
          <w:noProof/>
          <w:sz w:val="22"/>
          <w:lang w:eastAsia="fr-FR"/>
        </w:rPr>
      </w:pPr>
      <w:hyperlink w:anchor="_Toc23781691" w:history="1">
        <w:r w:rsidRPr="00F76FB9">
          <w:rPr>
            <w:rStyle w:val="Hyperlink"/>
            <w:noProof/>
          </w:rPr>
          <w:t>8</w:t>
        </w:r>
        <w:r>
          <w:rPr>
            <w:rFonts w:asciiTheme="minorHAnsi" w:hAnsiTheme="minorHAnsi"/>
            <w:noProof/>
            <w:sz w:val="22"/>
            <w:lang w:eastAsia="fr-FR"/>
          </w:rPr>
          <w:tab/>
        </w:r>
        <w:r w:rsidRPr="00F76FB9">
          <w:rPr>
            <w:rStyle w:val="Hyperlink"/>
            <w:noProof/>
          </w:rPr>
          <w:t>Communications et accès à l’information</w:t>
        </w:r>
        <w:r>
          <w:rPr>
            <w:noProof/>
            <w:webHidden/>
          </w:rPr>
          <w:tab/>
        </w:r>
        <w:r>
          <w:rPr>
            <w:noProof/>
            <w:webHidden/>
          </w:rPr>
          <w:fldChar w:fldCharType="begin"/>
        </w:r>
        <w:r>
          <w:rPr>
            <w:noProof/>
            <w:webHidden/>
          </w:rPr>
          <w:instrText xml:space="preserve"> PAGEREF _Toc23781691 \h </w:instrText>
        </w:r>
        <w:r>
          <w:rPr>
            <w:noProof/>
            <w:webHidden/>
          </w:rPr>
        </w:r>
        <w:r>
          <w:rPr>
            <w:noProof/>
            <w:webHidden/>
          </w:rPr>
          <w:fldChar w:fldCharType="separate"/>
        </w:r>
        <w:r>
          <w:rPr>
            <w:noProof/>
            <w:webHidden/>
          </w:rPr>
          <w:t>20</w:t>
        </w:r>
        <w:r>
          <w:rPr>
            <w:noProof/>
            <w:webHidden/>
          </w:rPr>
          <w:fldChar w:fldCharType="end"/>
        </w:r>
      </w:hyperlink>
    </w:p>
    <w:p w:rsidR="006B294E" w:rsidRDefault="006B294E">
      <w:pPr>
        <w:pStyle w:val="TOC2"/>
        <w:tabs>
          <w:tab w:val="left" w:pos="880"/>
          <w:tab w:val="right" w:leader="dot" w:pos="9350"/>
        </w:tabs>
        <w:rPr>
          <w:rFonts w:asciiTheme="minorHAnsi" w:hAnsiTheme="minorHAnsi"/>
          <w:noProof/>
          <w:sz w:val="22"/>
          <w:lang w:eastAsia="fr-FR"/>
        </w:rPr>
      </w:pPr>
      <w:hyperlink w:anchor="_Toc23781692" w:history="1">
        <w:r w:rsidRPr="00F76FB9">
          <w:rPr>
            <w:rStyle w:val="Hyperlink"/>
            <w:noProof/>
          </w:rPr>
          <w:t>8.1</w:t>
        </w:r>
        <w:r>
          <w:rPr>
            <w:rFonts w:asciiTheme="minorHAnsi" w:hAnsiTheme="minorHAnsi"/>
            <w:noProof/>
            <w:sz w:val="22"/>
            <w:lang w:eastAsia="fr-FR"/>
          </w:rPr>
          <w:tab/>
        </w:r>
        <w:r w:rsidRPr="00F76FB9">
          <w:rPr>
            <w:rStyle w:val="Hyperlink"/>
            <w:noProof/>
          </w:rPr>
          <w:t>Constats</w:t>
        </w:r>
        <w:r>
          <w:rPr>
            <w:noProof/>
            <w:webHidden/>
          </w:rPr>
          <w:tab/>
        </w:r>
        <w:r>
          <w:rPr>
            <w:noProof/>
            <w:webHidden/>
          </w:rPr>
          <w:fldChar w:fldCharType="begin"/>
        </w:r>
        <w:r>
          <w:rPr>
            <w:noProof/>
            <w:webHidden/>
          </w:rPr>
          <w:instrText xml:space="preserve"> PAGEREF _Toc23781692 \h </w:instrText>
        </w:r>
        <w:r>
          <w:rPr>
            <w:noProof/>
            <w:webHidden/>
          </w:rPr>
        </w:r>
        <w:r>
          <w:rPr>
            <w:noProof/>
            <w:webHidden/>
          </w:rPr>
          <w:fldChar w:fldCharType="separate"/>
        </w:r>
        <w:r>
          <w:rPr>
            <w:noProof/>
            <w:webHidden/>
          </w:rPr>
          <w:t>20</w:t>
        </w:r>
        <w:r>
          <w:rPr>
            <w:noProof/>
            <w:webHidden/>
          </w:rPr>
          <w:fldChar w:fldCharType="end"/>
        </w:r>
      </w:hyperlink>
    </w:p>
    <w:p w:rsidR="006B294E" w:rsidRDefault="006B294E">
      <w:pPr>
        <w:pStyle w:val="TOC2"/>
        <w:tabs>
          <w:tab w:val="left" w:pos="880"/>
          <w:tab w:val="right" w:leader="dot" w:pos="9350"/>
        </w:tabs>
        <w:rPr>
          <w:rFonts w:asciiTheme="minorHAnsi" w:hAnsiTheme="minorHAnsi"/>
          <w:noProof/>
          <w:sz w:val="22"/>
          <w:lang w:eastAsia="fr-FR"/>
        </w:rPr>
      </w:pPr>
      <w:hyperlink w:anchor="_Toc23781693" w:history="1">
        <w:r w:rsidRPr="00F76FB9">
          <w:rPr>
            <w:rStyle w:val="Hyperlink"/>
            <w:noProof/>
          </w:rPr>
          <w:t>8.2</w:t>
        </w:r>
        <w:r>
          <w:rPr>
            <w:rFonts w:asciiTheme="minorHAnsi" w:hAnsiTheme="minorHAnsi"/>
            <w:noProof/>
            <w:sz w:val="22"/>
            <w:lang w:eastAsia="fr-FR"/>
          </w:rPr>
          <w:tab/>
        </w:r>
        <w:r w:rsidRPr="00F76FB9">
          <w:rPr>
            <w:rStyle w:val="Hyperlink"/>
            <w:noProof/>
          </w:rPr>
          <w:t>Situations de discrimination et atteinte à l’exercice des droits</w:t>
        </w:r>
        <w:r>
          <w:rPr>
            <w:noProof/>
            <w:webHidden/>
          </w:rPr>
          <w:tab/>
        </w:r>
        <w:r>
          <w:rPr>
            <w:noProof/>
            <w:webHidden/>
          </w:rPr>
          <w:fldChar w:fldCharType="begin"/>
        </w:r>
        <w:r>
          <w:rPr>
            <w:noProof/>
            <w:webHidden/>
          </w:rPr>
          <w:instrText xml:space="preserve"> PAGEREF _Toc23781693 \h </w:instrText>
        </w:r>
        <w:r>
          <w:rPr>
            <w:noProof/>
            <w:webHidden/>
          </w:rPr>
        </w:r>
        <w:r>
          <w:rPr>
            <w:noProof/>
            <w:webHidden/>
          </w:rPr>
          <w:fldChar w:fldCharType="separate"/>
        </w:r>
        <w:r>
          <w:rPr>
            <w:noProof/>
            <w:webHidden/>
          </w:rPr>
          <w:t>23</w:t>
        </w:r>
        <w:r>
          <w:rPr>
            <w:noProof/>
            <w:webHidden/>
          </w:rPr>
          <w:fldChar w:fldCharType="end"/>
        </w:r>
      </w:hyperlink>
    </w:p>
    <w:p w:rsidR="006B294E" w:rsidRDefault="006B294E">
      <w:pPr>
        <w:pStyle w:val="TOC1"/>
        <w:tabs>
          <w:tab w:val="left" w:pos="440"/>
          <w:tab w:val="right" w:leader="dot" w:pos="9350"/>
        </w:tabs>
        <w:rPr>
          <w:rFonts w:asciiTheme="minorHAnsi" w:hAnsiTheme="minorHAnsi"/>
          <w:noProof/>
          <w:sz w:val="22"/>
          <w:lang w:eastAsia="fr-FR"/>
        </w:rPr>
      </w:pPr>
      <w:hyperlink w:anchor="_Toc23781694" w:history="1">
        <w:r w:rsidRPr="00F76FB9">
          <w:rPr>
            <w:rStyle w:val="Hyperlink"/>
            <w:noProof/>
          </w:rPr>
          <w:t>9</w:t>
        </w:r>
        <w:r>
          <w:rPr>
            <w:rFonts w:asciiTheme="minorHAnsi" w:hAnsiTheme="minorHAnsi"/>
            <w:noProof/>
            <w:sz w:val="22"/>
            <w:lang w:eastAsia="fr-FR"/>
          </w:rPr>
          <w:tab/>
        </w:r>
        <w:r w:rsidRPr="00F76FB9">
          <w:rPr>
            <w:rStyle w:val="Hyperlink"/>
            <w:noProof/>
          </w:rPr>
          <w:t>Emploi</w:t>
        </w:r>
        <w:r>
          <w:rPr>
            <w:noProof/>
            <w:webHidden/>
          </w:rPr>
          <w:tab/>
        </w:r>
        <w:r>
          <w:rPr>
            <w:noProof/>
            <w:webHidden/>
          </w:rPr>
          <w:fldChar w:fldCharType="begin"/>
        </w:r>
        <w:r>
          <w:rPr>
            <w:noProof/>
            <w:webHidden/>
          </w:rPr>
          <w:instrText xml:space="preserve"> PAGEREF _Toc23781694 \h </w:instrText>
        </w:r>
        <w:r>
          <w:rPr>
            <w:noProof/>
            <w:webHidden/>
          </w:rPr>
        </w:r>
        <w:r>
          <w:rPr>
            <w:noProof/>
            <w:webHidden/>
          </w:rPr>
          <w:fldChar w:fldCharType="separate"/>
        </w:r>
        <w:r>
          <w:rPr>
            <w:noProof/>
            <w:webHidden/>
          </w:rPr>
          <w:t>23</w:t>
        </w:r>
        <w:r>
          <w:rPr>
            <w:noProof/>
            <w:webHidden/>
          </w:rPr>
          <w:fldChar w:fldCharType="end"/>
        </w:r>
      </w:hyperlink>
    </w:p>
    <w:p w:rsidR="006B294E" w:rsidRDefault="006B294E">
      <w:pPr>
        <w:pStyle w:val="TOC2"/>
        <w:tabs>
          <w:tab w:val="left" w:pos="880"/>
          <w:tab w:val="right" w:leader="dot" w:pos="9350"/>
        </w:tabs>
        <w:rPr>
          <w:rFonts w:asciiTheme="minorHAnsi" w:hAnsiTheme="minorHAnsi"/>
          <w:noProof/>
          <w:sz w:val="22"/>
          <w:lang w:eastAsia="fr-FR"/>
        </w:rPr>
      </w:pPr>
      <w:hyperlink w:anchor="_Toc23781695" w:history="1">
        <w:r w:rsidRPr="00F76FB9">
          <w:rPr>
            <w:rStyle w:val="Hyperlink"/>
            <w:noProof/>
          </w:rPr>
          <w:t>9.1</w:t>
        </w:r>
        <w:r>
          <w:rPr>
            <w:rFonts w:asciiTheme="minorHAnsi" w:hAnsiTheme="minorHAnsi"/>
            <w:noProof/>
            <w:sz w:val="22"/>
            <w:lang w:eastAsia="fr-FR"/>
          </w:rPr>
          <w:tab/>
        </w:r>
        <w:r w:rsidRPr="00F76FB9">
          <w:rPr>
            <w:rStyle w:val="Hyperlink"/>
            <w:noProof/>
          </w:rPr>
          <w:t>Constats</w:t>
        </w:r>
        <w:r>
          <w:rPr>
            <w:noProof/>
            <w:webHidden/>
          </w:rPr>
          <w:tab/>
        </w:r>
        <w:r>
          <w:rPr>
            <w:noProof/>
            <w:webHidden/>
          </w:rPr>
          <w:fldChar w:fldCharType="begin"/>
        </w:r>
        <w:r>
          <w:rPr>
            <w:noProof/>
            <w:webHidden/>
          </w:rPr>
          <w:instrText xml:space="preserve"> PAGEREF _Toc23781695 \h </w:instrText>
        </w:r>
        <w:r>
          <w:rPr>
            <w:noProof/>
            <w:webHidden/>
          </w:rPr>
        </w:r>
        <w:r>
          <w:rPr>
            <w:noProof/>
            <w:webHidden/>
          </w:rPr>
          <w:fldChar w:fldCharType="separate"/>
        </w:r>
        <w:r>
          <w:rPr>
            <w:noProof/>
            <w:webHidden/>
          </w:rPr>
          <w:t>23</w:t>
        </w:r>
        <w:r>
          <w:rPr>
            <w:noProof/>
            <w:webHidden/>
          </w:rPr>
          <w:fldChar w:fldCharType="end"/>
        </w:r>
      </w:hyperlink>
    </w:p>
    <w:p w:rsidR="006B294E" w:rsidRDefault="006B294E">
      <w:pPr>
        <w:pStyle w:val="TOC2"/>
        <w:tabs>
          <w:tab w:val="left" w:pos="880"/>
          <w:tab w:val="right" w:leader="dot" w:pos="9350"/>
        </w:tabs>
        <w:rPr>
          <w:rFonts w:asciiTheme="minorHAnsi" w:hAnsiTheme="minorHAnsi"/>
          <w:noProof/>
          <w:sz w:val="22"/>
          <w:lang w:eastAsia="fr-FR"/>
        </w:rPr>
      </w:pPr>
      <w:hyperlink w:anchor="_Toc23781696" w:history="1">
        <w:r w:rsidRPr="00F76FB9">
          <w:rPr>
            <w:rStyle w:val="Hyperlink"/>
            <w:noProof/>
          </w:rPr>
          <w:t>9.2</w:t>
        </w:r>
        <w:r>
          <w:rPr>
            <w:rFonts w:asciiTheme="minorHAnsi" w:hAnsiTheme="minorHAnsi"/>
            <w:noProof/>
            <w:sz w:val="22"/>
            <w:lang w:eastAsia="fr-FR"/>
          </w:rPr>
          <w:tab/>
        </w:r>
        <w:r w:rsidRPr="00F76FB9">
          <w:rPr>
            <w:rStyle w:val="Hyperlink"/>
            <w:noProof/>
          </w:rPr>
          <w:t>Situations de discrimination et atteinte à l’exercice des droits</w:t>
        </w:r>
        <w:r>
          <w:rPr>
            <w:noProof/>
            <w:webHidden/>
          </w:rPr>
          <w:tab/>
        </w:r>
        <w:r>
          <w:rPr>
            <w:noProof/>
            <w:webHidden/>
          </w:rPr>
          <w:fldChar w:fldCharType="begin"/>
        </w:r>
        <w:r>
          <w:rPr>
            <w:noProof/>
            <w:webHidden/>
          </w:rPr>
          <w:instrText xml:space="preserve"> PAGEREF _Toc23781696 \h </w:instrText>
        </w:r>
        <w:r>
          <w:rPr>
            <w:noProof/>
            <w:webHidden/>
          </w:rPr>
        </w:r>
        <w:r>
          <w:rPr>
            <w:noProof/>
            <w:webHidden/>
          </w:rPr>
          <w:fldChar w:fldCharType="separate"/>
        </w:r>
        <w:r>
          <w:rPr>
            <w:noProof/>
            <w:webHidden/>
          </w:rPr>
          <w:t>24</w:t>
        </w:r>
        <w:r>
          <w:rPr>
            <w:noProof/>
            <w:webHidden/>
          </w:rPr>
          <w:fldChar w:fldCharType="end"/>
        </w:r>
      </w:hyperlink>
    </w:p>
    <w:p w:rsidR="006B294E" w:rsidRDefault="006B294E">
      <w:pPr>
        <w:pStyle w:val="TOC1"/>
        <w:tabs>
          <w:tab w:val="left" w:pos="660"/>
          <w:tab w:val="right" w:leader="dot" w:pos="9350"/>
        </w:tabs>
        <w:rPr>
          <w:rFonts w:asciiTheme="minorHAnsi" w:hAnsiTheme="minorHAnsi"/>
          <w:noProof/>
          <w:sz w:val="22"/>
          <w:lang w:eastAsia="fr-FR"/>
        </w:rPr>
      </w:pPr>
      <w:hyperlink w:anchor="_Toc23781697" w:history="1">
        <w:r w:rsidRPr="00F76FB9">
          <w:rPr>
            <w:rStyle w:val="Hyperlink"/>
            <w:noProof/>
          </w:rPr>
          <w:t>10</w:t>
        </w:r>
        <w:r>
          <w:rPr>
            <w:rFonts w:asciiTheme="minorHAnsi" w:hAnsiTheme="minorHAnsi"/>
            <w:noProof/>
            <w:sz w:val="22"/>
            <w:lang w:eastAsia="fr-FR"/>
          </w:rPr>
          <w:tab/>
        </w:r>
        <w:r w:rsidRPr="00F76FB9">
          <w:rPr>
            <w:rStyle w:val="Hyperlink"/>
            <w:noProof/>
          </w:rPr>
          <w:t>Recommandations</w:t>
        </w:r>
        <w:r>
          <w:rPr>
            <w:noProof/>
            <w:webHidden/>
          </w:rPr>
          <w:tab/>
        </w:r>
        <w:r>
          <w:rPr>
            <w:noProof/>
            <w:webHidden/>
          </w:rPr>
          <w:fldChar w:fldCharType="begin"/>
        </w:r>
        <w:r>
          <w:rPr>
            <w:noProof/>
            <w:webHidden/>
          </w:rPr>
          <w:instrText xml:space="preserve"> PAGEREF _Toc23781697 \h </w:instrText>
        </w:r>
        <w:r>
          <w:rPr>
            <w:noProof/>
            <w:webHidden/>
          </w:rPr>
        </w:r>
        <w:r>
          <w:rPr>
            <w:noProof/>
            <w:webHidden/>
          </w:rPr>
          <w:fldChar w:fldCharType="separate"/>
        </w:r>
        <w:r>
          <w:rPr>
            <w:noProof/>
            <w:webHidden/>
          </w:rPr>
          <w:t>25</w:t>
        </w:r>
        <w:r>
          <w:rPr>
            <w:noProof/>
            <w:webHidden/>
          </w:rPr>
          <w:fldChar w:fldCharType="end"/>
        </w:r>
      </w:hyperlink>
    </w:p>
    <w:p w:rsidR="006B294E" w:rsidRDefault="006B294E">
      <w:pPr>
        <w:pStyle w:val="TOC2"/>
        <w:tabs>
          <w:tab w:val="left" w:pos="1100"/>
          <w:tab w:val="right" w:leader="dot" w:pos="9350"/>
        </w:tabs>
        <w:rPr>
          <w:rFonts w:asciiTheme="minorHAnsi" w:hAnsiTheme="minorHAnsi"/>
          <w:noProof/>
          <w:sz w:val="22"/>
          <w:lang w:eastAsia="fr-FR"/>
        </w:rPr>
      </w:pPr>
      <w:hyperlink w:anchor="_Toc23781698" w:history="1">
        <w:r w:rsidRPr="00F76FB9">
          <w:rPr>
            <w:rStyle w:val="Hyperlink"/>
            <w:noProof/>
          </w:rPr>
          <w:t>10.1</w:t>
        </w:r>
        <w:r>
          <w:rPr>
            <w:rFonts w:asciiTheme="minorHAnsi" w:hAnsiTheme="minorHAnsi"/>
            <w:noProof/>
            <w:sz w:val="22"/>
            <w:lang w:eastAsia="fr-FR"/>
          </w:rPr>
          <w:tab/>
        </w:r>
        <w:r w:rsidRPr="00F76FB9">
          <w:rPr>
            <w:rStyle w:val="Hyperlink"/>
            <w:noProof/>
          </w:rPr>
          <w:t>Des solutions à portée de main…</w:t>
        </w:r>
        <w:r>
          <w:rPr>
            <w:noProof/>
            <w:webHidden/>
          </w:rPr>
          <w:tab/>
        </w:r>
        <w:r>
          <w:rPr>
            <w:noProof/>
            <w:webHidden/>
          </w:rPr>
          <w:fldChar w:fldCharType="begin"/>
        </w:r>
        <w:r>
          <w:rPr>
            <w:noProof/>
            <w:webHidden/>
          </w:rPr>
          <w:instrText xml:space="preserve"> PAGEREF _Toc23781698 \h </w:instrText>
        </w:r>
        <w:r>
          <w:rPr>
            <w:noProof/>
            <w:webHidden/>
          </w:rPr>
        </w:r>
        <w:r>
          <w:rPr>
            <w:noProof/>
            <w:webHidden/>
          </w:rPr>
          <w:fldChar w:fldCharType="separate"/>
        </w:r>
        <w:r>
          <w:rPr>
            <w:noProof/>
            <w:webHidden/>
          </w:rPr>
          <w:t>25</w:t>
        </w:r>
        <w:r>
          <w:rPr>
            <w:noProof/>
            <w:webHidden/>
          </w:rPr>
          <w:fldChar w:fldCharType="end"/>
        </w:r>
      </w:hyperlink>
    </w:p>
    <w:p w:rsidR="006B294E" w:rsidRDefault="006B294E">
      <w:pPr>
        <w:pStyle w:val="TOC2"/>
        <w:tabs>
          <w:tab w:val="left" w:pos="1100"/>
          <w:tab w:val="right" w:leader="dot" w:pos="9350"/>
        </w:tabs>
        <w:rPr>
          <w:rFonts w:asciiTheme="minorHAnsi" w:hAnsiTheme="minorHAnsi"/>
          <w:noProof/>
          <w:sz w:val="22"/>
          <w:lang w:eastAsia="fr-FR"/>
        </w:rPr>
      </w:pPr>
      <w:hyperlink w:anchor="_Toc23781699" w:history="1">
        <w:r w:rsidRPr="00F76FB9">
          <w:rPr>
            <w:rStyle w:val="Hyperlink"/>
            <w:noProof/>
          </w:rPr>
          <w:t>10.2</w:t>
        </w:r>
        <w:r>
          <w:rPr>
            <w:rFonts w:asciiTheme="minorHAnsi" w:hAnsiTheme="minorHAnsi"/>
            <w:noProof/>
            <w:sz w:val="22"/>
            <w:lang w:eastAsia="fr-FR"/>
          </w:rPr>
          <w:tab/>
        </w:r>
        <w:r w:rsidRPr="00F76FB9">
          <w:rPr>
            <w:rStyle w:val="Hyperlink"/>
            <w:noProof/>
          </w:rPr>
          <w:t>Quelques recommandations spécifiques</w:t>
        </w:r>
        <w:r>
          <w:rPr>
            <w:noProof/>
            <w:webHidden/>
          </w:rPr>
          <w:tab/>
        </w:r>
        <w:r>
          <w:rPr>
            <w:noProof/>
            <w:webHidden/>
          </w:rPr>
          <w:fldChar w:fldCharType="begin"/>
        </w:r>
        <w:r>
          <w:rPr>
            <w:noProof/>
            <w:webHidden/>
          </w:rPr>
          <w:instrText xml:space="preserve"> PAGEREF _Toc23781699 \h </w:instrText>
        </w:r>
        <w:r>
          <w:rPr>
            <w:noProof/>
            <w:webHidden/>
          </w:rPr>
        </w:r>
        <w:r>
          <w:rPr>
            <w:noProof/>
            <w:webHidden/>
          </w:rPr>
          <w:fldChar w:fldCharType="separate"/>
        </w:r>
        <w:r>
          <w:rPr>
            <w:noProof/>
            <w:webHidden/>
          </w:rPr>
          <w:t>27</w:t>
        </w:r>
        <w:r>
          <w:rPr>
            <w:noProof/>
            <w:webHidden/>
          </w:rPr>
          <w:fldChar w:fldCharType="end"/>
        </w:r>
      </w:hyperlink>
    </w:p>
    <w:p w:rsidR="006B294E" w:rsidRDefault="006B294E">
      <w:pPr>
        <w:pStyle w:val="TOC1"/>
        <w:tabs>
          <w:tab w:val="left" w:pos="660"/>
          <w:tab w:val="right" w:leader="dot" w:pos="9350"/>
        </w:tabs>
        <w:rPr>
          <w:rFonts w:asciiTheme="minorHAnsi" w:hAnsiTheme="minorHAnsi"/>
          <w:noProof/>
          <w:sz w:val="22"/>
          <w:lang w:eastAsia="fr-FR"/>
        </w:rPr>
      </w:pPr>
      <w:hyperlink w:anchor="_Toc23781700" w:history="1">
        <w:r w:rsidRPr="00F76FB9">
          <w:rPr>
            <w:rStyle w:val="Hyperlink"/>
            <w:noProof/>
          </w:rPr>
          <w:t>11</w:t>
        </w:r>
        <w:r>
          <w:rPr>
            <w:rFonts w:asciiTheme="minorHAnsi" w:hAnsiTheme="minorHAnsi"/>
            <w:noProof/>
            <w:sz w:val="22"/>
            <w:lang w:eastAsia="fr-FR"/>
          </w:rPr>
          <w:tab/>
        </w:r>
        <w:r w:rsidRPr="00F76FB9">
          <w:rPr>
            <w:rStyle w:val="Hyperlink"/>
            <w:noProof/>
          </w:rPr>
          <w:t>Conclusion</w:t>
        </w:r>
        <w:r>
          <w:rPr>
            <w:noProof/>
            <w:webHidden/>
          </w:rPr>
          <w:tab/>
        </w:r>
        <w:r>
          <w:rPr>
            <w:noProof/>
            <w:webHidden/>
          </w:rPr>
          <w:fldChar w:fldCharType="begin"/>
        </w:r>
        <w:r>
          <w:rPr>
            <w:noProof/>
            <w:webHidden/>
          </w:rPr>
          <w:instrText xml:space="preserve"> PAGEREF _Toc23781700 \h </w:instrText>
        </w:r>
        <w:r>
          <w:rPr>
            <w:noProof/>
            <w:webHidden/>
          </w:rPr>
        </w:r>
        <w:r>
          <w:rPr>
            <w:noProof/>
            <w:webHidden/>
          </w:rPr>
          <w:fldChar w:fldCharType="separate"/>
        </w:r>
        <w:r>
          <w:rPr>
            <w:noProof/>
            <w:webHidden/>
          </w:rPr>
          <w:t>30</w:t>
        </w:r>
        <w:r>
          <w:rPr>
            <w:noProof/>
            <w:webHidden/>
          </w:rPr>
          <w:fldChar w:fldCharType="end"/>
        </w:r>
      </w:hyperlink>
    </w:p>
    <w:p w:rsidR="006B294E" w:rsidRDefault="006B294E">
      <w:pPr>
        <w:pStyle w:val="TOC1"/>
        <w:tabs>
          <w:tab w:val="right" w:leader="dot" w:pos="9350"/>
        </w:tabs>
        <w:rPr>
          <w:rFonts w:asciiTheme="minorHAnsi" w:hAnsiTheme="minorHAnsi"/>
          <w:noProof/>
          <w:sz w:val="22"/>
          <w:lang w:eastAsia="fr-FR"/>
        </w:rPr>
      </w:pPr>
      <w:hyperlink w:anchor="_Toc23781701" w:history="1">
        <w:r w:rsidRPr="00F76FB9">
          <w:rPr>
            <w:rStyle w:val="Hyperlink"/>
            <w:noProof/>
          </w:rPr>
          <w:t>Annexe 1 : extrait de la Charte des droits et libertés de la personne du Québec</w:t>
        </w:r>
        <w:r>
          <w:rPr>
            <w:noProof/>
            <w:webHidden/>
          </w:rPr>
          <w:tab/>
        </w:r>
        <w:r>
          <w:rPr>
            <w:noProof/>
            <w:webHidden/>
          </w:rPr>
          <w:fldChar w:fldCharType="begin"/>
        </w:r>
        <w:r>
          <w:rPr>
            <w:noProof/>
            <w:webHidden/>
          </w:rPr>
          <w:instrText xml:space="preserve"> PAGEREF _Toc23781701 \h </w:instrText>
        </w:r>
        <w:r>
          <w:rPr>
            <w:noProof/>
            <w:webHidden/>
          </w:rPr>
        </w:r>
        <w:r>
          <w:rPr>
            <w:noProof/>
            <w:webHidden/>
          </w:rPr>
          <w:fldChar w:fldCharType="separate"/>
        </w:r>
        <w:r>
          <w:rPr>
            <w:noProof/>
            <w:webHidden/>
          </w:rPr>
          <w:t>31</w:t>
        </w:r>
        <w:r>
          <w:rPr>
            <w:noProof/>
            <w:webHidden/>
          </w:rPr>
          <w:fldChar w:fldCharType="end"/>
        </w:r>
      </w:hyperlink>
    </w:p>
    <w:p w:rsidR="006B294E" w:rsidRDefault="006B294E">
      <w:pPr>
        <w:pStyle w:val="TOC1"/>
        <w:tabs>
          <w:tab w:val="right" w:leader="dot" w:pos="9350"/>
        </w:tabs>
        <w:rPr>
          <w:rFonts w:asciiTheme="minorHAnsi" w:hAnsiTheme="minorHAnsi"/>
          <w:noProof/>
          <w:sz w:val="22"/>
          <w:lang w:eastAsia="fr-FR"/>
        </w:rPr>
      </w:pPr>
      <w:hyperlink w:anchor="_Toc23781702" w:history="1">
        <w:r w:rsidRPr="00F76FB9">
          <w:rPr>
            <w:rStyle w:val="Hyperlink"/>
            <w:noProof/>
          </w:rPr>
          <w:t>Annexe 2 : Liste des organismes qui ont participé à l’activité contributive citoyenne</w:t>
        </w:r>
        <w:r>
          <w:rPr>
            <w:noProof/>
            <w:webHidden/>
          </w:rPr>
          <w:tab/>
        </w:r>
        <w:r>
          <w:rPr>
            <w:noProof/>
            <w:webHidden/>
          </w:rPr>
          <w:fldChar w:fldCharType="begin"/>
        </w:r>
        <w:r>
          <w:rPr>
            <w:noProof/>
            <w:webHidden/>
          </w:rPr>
          <w:instrText xml:space="preserve"> PAGEREF _Toc23781702 \h </w:instrText>
        </w:r>
        <w:r>
          <w:rPr>
            <w:noProof/>
            <w:webHidden/>
          </w:rPr>
        </w:r>
        <w:r>
          <w:rPr>
            <w:noProof/>
            <w:webHidden/>
          </w:rPr>
          <w:fldChar w:fldCharType="separate"/>
        </w:r>
        <w:r>
          <w:rPr>
            <w:noProof/>
            <w:webHidden/>
          </w:rPr>
          <w:t>33</w:t>
        </w:r>
        <w:r>
          <w:rPr>
            <w:noProof/>
            <w:webHidden/>
          </w:rPr>
          <w:fldChar w:fldCharType="end"/>
        </w:r>
      </w:hyperlink>
    </w:p>
    <w:p w:rsidR="006B294E" w:rsidRDefault="006B294E">
      <w:pPr>
        <w:pStyle w:val="TOC1"/>
        <w:tabs>
          <w:tab w:val="right" w:leader="dot" w:pos="9350"/>
        </w:tabs>
        <w:rPr>
          <w:rFonts w:asciiTheme="minorHAnsi" w:hAnsiTheme="minorHAnsi"/>
          <w:noProof/>
          <w:sz w:val="22"/>
          <w:lang w:eastAsia="fr-FR"/>
        </w:rPr>
      </w:pPr>
      <w:hyperlink w:anchor="_Toc23781703" w:history="1">
        <w:r w:rsidRPr="00F76FB9">
          <w:rPr>
            <w:rStyle w:val="Hyperlink"/>
            <w:noProof/>
          </w:rPr>
          <w:t>Annexe 3 : Le processus de production du handicap (PPH)</w:t>
        </w:r>
        <w:r>
          <w:rPr>
            <w:noProof/>
            <w:webHidden/>
          </w:rPr>
          <w:tab/>
        </w:r>
        <w:r>
          <w:rPr>
            <w:noProof/>
            <w:webHidden/>
          </w:rPr>
          <w:fldChar w:fldCharType="begin"/>
        </w:r>
        <w:r>
          <w:rPr>
            <w:noProof/>
            <w:webHidden/>
          </w:rPr>
          <w:instrText xml:space="preserve"> PAGEREF _Toc23781703 \h </w:instrText>
        </w:r>
        <w:r>
          <w:rPr>
            <w:noProof/>
            <w:webHidden/>
          </w:rPr>
        </w:r>
        <w:r>
          <w:rPr>
            <w:noProof/>
            <w:webHidden/>
          </w:rPr>
          <w:fldChar w:fldCharType="separate"/>
        </w:r>
        <w:r>
          <w:rPr>
            <w:noProof/>
            <w:webHidden/>
          </w:rPr>
          <w:t>34</w:t>
        </w:r>
        <w:r>
          <w:rPr>
            <w:noProof/>
            <w:webHidden/>
          </w:rPr>
          <w:fldChar w:fldCharType="end"/>
        </w:r>
      </w:hyperlink>
    </w:p>
    <w:p w:rsidR="00D03041" w:rsidRPr="00D47FB9" w:rsidRDefault="006B294E" w:rsidP="004302BB">
      <w:pPr>
        <w:pStyle w:val="TOC1"/>
        <w:tabs>
          <w:tab w:val="right" w:leader="dot" w:pos="9350"/>
        </w:tabs>
      </w:pPr>
      <w:hyperlink w:anchor="_Toc23781704" w:history="1">
        <w:r w:rsidRPr="00F76FB9">
          <w:rPr>
            <w:rStyle w:val="Hyperlink"/>
            <w:noProof/>
          </w:rPr>
          <w:t>Annexe 4 : La chaîne de participation sociale</w:t>
        </w:r>
        <w:r>
          <w:rPr>
            <w:noProof/>
            <w:webHidden/>
          </w:rPr>
          <w:tab/>
        </w:r>
        <w:r>
          <w:rPr>
            <w:noProof/>
            <w:webHidden/>
          </w:rPr>
          <w:fldChar w:fldCharType="begin"/>
        </w:r>
        <w:r>
          <w:rPr>
            <w:noProof/>
            <w:webHidden/>
          </w:rPr>
          <w:instrText xml:space="preserve"> PAGEREF _Toc23781704 \h </w:instrText>
        </w:r>
        <w:r>
          <w:rPr>
            <w:noProof/>
            <w:webHidden/>
          </w:rPr>
        </w:r>
        <w:r>
          <w:rPr>
            <w:noProof/>
            <w:webHidden/>
          </w:rPr>
          <w:fldChar w:fldCharType="separate"/>
        </w:r>
        <w:r>
          <w:rPr>
            <w:noProof/>
            <w:webHidden/>
          </w:rPr>
          <w:t>36</w:t>
        </w:r>
        <w:r>
          <w:rPr>
            <w:noProof/>
            <w:webHidden/>
          </w:rPr>
          <w:fldChar w:fldCharType="end"/>
        </w:r>
      </w:hyperlink>
      <w:r w:rsidR="00F84B0A" w:rsidRPr="00D47FB9">
        <w:fldChar w:fldCharType="end"/>
      </w:r>
    </w:p>
    <w:p w:rsidR="00160D7B" w:rsidRDefault="00A02448" w:rsidP="008F3101">
      <w:pPr>
        <w:pStyle w:val="Heading1"/>
      </w:pPr>
      <w:bookmarkStart w:id="15" w:name="_Toc23781676"/>
      <w:r w:rsidRPr="008F3101">
        <w:lastRenderedPageBreak/>
        <w:t>Quelques d</w:t>
      </w:r>
      <w:r w:rsidR="00160D7B" w:rsidRPr="008F3101">
        <w:t>éfinitions</w:t>
      </w:r>
      <w:bookmarkEnd w:id="15"/>
    </w:p>
    <w:p w:rsidR="009D4EF2" w:rsidRDefault="00335616" w:rsidP="008F5985">
      <w:r w:rsidRPr="00335616">
        <w:t xml:space="preserve">Sauf indication contraire, ces définitions sont issues du </w:t>
      </w:r>
      <w:r w:rsidRPr="00EE0356">
        <w:t xml:space="preserve">lexique présenté sur le </w:t>
      </w:r>
      <w:hyperlink r:id="rId10" w:history="1">
        <w:r w:rsidRPr="00EE0356">
          <w:rPr>
            <w:rStyle w:val="Hyperlink"/>
          </w:rPr>
          <w:t>site Web de la Commission des droits de la personne et de la jeunesse</w:t>
        </w:r>
      </w:hyperlink>
      <w:r w:rsidRPr="00EE0356">
        <w:t xml:space="preserve"> (CDPDJ)</w:t>
      </w:r>
      <w:r w:rsidR="00643130">
        <w:t xml:space="preserve"> et du </w:t>
      </w:r>
      <w:hyperlink r:id="rId11" w:history="1">
        <w:r w:rsidR="00643130" w:rsidRPr="00643130">
          <w:rPr>
            <w:rStyle w:val="Hyperlink"/>
          </w:rPr>
          <w:t>document de consultation élaboré par la Ville de Montréal</w:t>
        </w:r>
      </w:hyperlink>
      <w:r w:rsidR="00643130">
        <w:t xml:space="preserve"> dans le cadre de cette consultation.</w:t>
      </w:r>
    </w:p>
    <w:p w:rsidR="00ED20E2" w:rsidRPr="008F5985" w:rsidRDefault="00ED20E2" w:rsidP="00C9625D">
      <w:pPr>
        <w:numPr>
          <w:ilvl w:val="0"/>
          <w:numId w:val="11"/>
        </w:numPr>
      </w:pPr>
      <w:r w:rsidRPr="008F5985">
        <w:t>Accommodement raisonnable</w:t>
      </w:r>
      <w:r w:rsidR="001364DB">
        <w:t> :</w:t>
      </w:r>
      <w:r w:rsidRPr="008F5985">
        <w:t xml:space="preserve"> Moyen utilisé pour faire cesser une situation de discrimination fondée sur le handicap, la religion, l’âge ou tout autre motif interdit par la Charte</w:t>
      </w:r>
      <w:r w:rsidR="00D17200" w:rsidRPr="008F5985">
        <w:t xml:space="preserve"> des droits et libertés de la personne</w:t>
      </w:r>
      <w:r w:rsidRPr="008F5985">
        <w:t xml:space="preserve">. L’accommodement raisonnable est une obligation des employeurs et des fournisseurs de services. </w:t>
      </w:r>
    </w:p>
    <w:p w:rsidR="00ED20E2" w:rsidRPr="008F5985" w:rsidRDefault="00ED20E2" w:rsidP="00C9625D">
      <w:pPr>
        <w:numPr>
          <w:ilvl w:val="0"/>
          <w:numId w:val="11"/>
        </w:numPr>
      </w:pPr>
      <w:r w:rsidRPr="008F5985">
        <w:t>Caractéristique personnelle</w:t>
      </w:r>
      <w:r w:rsidR="001364DB">
        <w:t> :</w:t>
      </w:r>
      <w:r w:rsidRPr="008F5985">
        <w:t xml:space="preserve"> Les motifs de discrimination interdits par la </w:t>
      </w:r>
      <w:r w:rsidR="00D17200" w:rsidRPr="008F5985">
        <w:t xml:space="preserve">Charte des droits et libertés de la personne </w:t>
      </w:r>
      <w:r w:rsidRPr="008F5985">
        <w:t xml:space="preserve">sont des caractéristiques personnelles, c’est-à-dire des caractéristiques propres à une personne, et qui sont immuables ou difficilement modifiables, telles que la race, la couleur, le sexe, l’origine ethnique ou le handicap. </w:t>
      </w:r>
    </w:p>
    <w:p w:rsidR="00ED20E2" w:rsidRPr="008F5985" w:rsidRDefault="00ED20E2" w:rsidP="00C9625D">
      <w:pPr>
        <w:numPr>
          <w:ilvl w:val="0"/>
          <w:numId w:val="11"/>
        </w:numPr>
      </w:pPr>
      <w:r w:rsidRPr="008F5985">
        <w:t>Contrainte excessive</w:t>
      </w:r>
      <w:r w:rsidR="001364DB">
        <w:t> :</w:t>
      </w:r>
      <w:r w:rsidRPr="008F5985">
        <w:t xml:space="preserve"> Facteur qui permet d’évaluer, dans une situation de discrimination, si un accommodement est raisonnable ou non. La contrainte s’évalue en tenant compte notamment des coûts d’un accommodement, de son impact sur le bon fonct</w:t>
      </w:r>
      <w:r w:rsidR="00EE0356">
        <w:t>ionnement d’une institution et l</w:t>
      </w:r>
      <w:r w:rsidRPr="008F5985">
        <w:t xml:space="preserve">es droits des autres personnes. </w:t>
      </w:r>
    </w:p>
    <w:p w:rsidR="00ED20E2" w:rsidRPr="008F5985" w:rsidRDefault="00ED20E2" w:rsidP="00C9625D">
      <w:pPr>
        <w:numPr>
          <w:ilvl w:val="0"/>
          <w:numId w:val="11"/>
        </w:numPr>
      </w:pPr>
      <w:r w:rsidRPr="008F5985">
        <w:t>Discrimination</w:t>
      </w:r>
      <w:r w:rsidR="001364DB">
        <w:t> :</w:t>
      </w:r>
      <w:r w:rsidRPr="008F5985">
        <w:t xml:space="preserve"> Distinction, exclusion ou </w:t>
      </w:r>
      <w:r w:rsidRPr="00814091">
        <w:t xml:space="preserve">préférence </w:t>
      </w:r>
      <w:r w:rsidR="00814091" w:rsidRPr="00814091">
        <w:t>fondée</w:t>
      </w:r>
      <w:r w:rsidRPr="00814091">
        <w:t xml:space="preserve"> sur un motif interdit par la</w:t>
      </w:r>
      <w:r w:rsidR="00D17200" w:rsidRPr="00814091">
        <w:t xml:space="preserve"> Charte des droits et libertés de la personne</w:t>
      </w:r>
      <w:r w:rsidRPr="00814091">
        <w:t xml:space="preserve">, et ayant pour effet de détruire ou de compromettre l’exercice d’un droit ou d’une liberté </w:t>
      </w:r>
      <w:r w:rsidR="00814091" w:rsidRPr="00814091">
        <w:t>protégé</w:t>
      </w:r>
      <w:r w:rsidRPr="00814091">
        <w:t xml:space="preserve"> par la</w:t>
      </w:r>
      <w:r w:rsidR="00283E94" w:rsidRPr="00814091">
        <w:t xml:space="preserve"> Charte</w:t>
      </w:r>
      <w:r w:rsidR="00283E94" w:rsidRPr="008F5985">
        <w:t xml:space="preserve"> des droits et libertés de la personne</w:t>
      </w:r>
      <w:r w:rsidRPr="008F5985">
        <w:t xml:space="preserve">. </w:t>
      </w:r>
    </w:p>
    <w:p w:rsidR="009D4EF2" w:rsidRDefault="00ED20E2" w:rsidP="00C9625D">
      <w:pPr>
        <w:numPr>
          <w:ilvl w:val="0"/>
          <w:numId w:val="11"/>
        </w:numPr>
      </w:pPr>
      <w:r w:rsidRPr="008F5985">
        <w:t>Discrimination directe</w:t>
      </w:r>
      <w:r w:rsidR="001364DB">
        <w:t> :</w:t>
      </w:r>
      <w:r w:rsidRPr="008F5985">
        <w:t xml:space="preserve"> Distinction,</w:t>
      </w:r>
      <w:r w:rsidR="00814091">
        <w:t xml:space="preserve"> exclusion ou préférence fondée</w:t>
      </w:r>
      <w:r w:rsidRPr="008F5985">
        <w:t xml:space="preserve"> sur un motif interdit par la</w:t>
      </w:r>
      <w:r w:rsidR="00283E94" w:rsidRPr="008F5985">
        <w:t xml:space="preserve"> Charte des droits et libertés de la personne</w:t>
      </w:r>
      <w:r w:rsidRPr="008F5985">
        <w:t xml:space="preserve">, qui vise une personne ou un groupe de personnes de façon ouverte et avouée, et ayant pour effet de détruire ou de compromettre l’exercice d’un droit ou d’une </w:t>
      </w:r>
      <w:r w:rsidRPr="00814091">
        <w:t xml:space="preserve">liberté </w:t>
      </w:r>
      <w:r w:rsidR="00814091" w:rsidRPr="00814091">
        <w:t>protégé</w:t>
      </w:r>
      <w:r w:rsidRPr="00814091">
        <w:t xml:space="preserve"> par la</w:t>
      </w:r>
      <w:r w:rsidR="00283E94" w:rsidRPr="008F5985">
        <w:t xml:space="preserve"> Charte des droits et libertés de la personne</w:t>
      </w:r>
      <w:r w:rsidR="009D4EF2">
        <w:t xml:space="preserve">. </w:t>
      </w:r>
    </w:p>
    <w:p w:rsidR="009D4EF2" w:rsidRDefault="00ED20E2" w:rsidP="00C9625D">
      <w:pPr>
        <w:numPr>
          <w:ilvl w:val="0"/>
          <w:numId w:val="11"/>
        </w:numPr>
      </w:pPr>
      <w:r w:rsidRPr="008F5985">
        <w:t>Discrimination indirecte</w:t>
      </w:r>
      <w:r w:rsidR="001364DB">
        <w:t> :</w:t>
      </w:r>
      <w:r w:rsidRPr="008F5985">
        <w:t xml:space="preserve"> </w:t>
      </w:r>
      <w:r w:rsidR="00D12F94" w:rsidRPr="008F5985">
        <w:t>distinction, exclusion ou préférence découlant de l’application uniforme d’une norme, d’une politique, d’une règle ou d’une pratique. Bien qu’elle soit neutre à première vue, une telle distinction, exclusion ou préférence peut néanmoins avoir un effet discriminatoire sur un individu ou sur une catégorie d’individus en leur imposant des obligations, des peines ou des conditions restrictives non imposées à autrui</w:t>
      </w:r>
      <w:r w:rsidR="009D4EF2">
        <w:t xml:space="preserve">. </w:t>
      </w:r>
    </w:p>
    <w:p w:rsidR="009D4EF2" w:rsidRDefault="00ED20E2" w:rsidP="00C9625D">
      <w:pPr>
        <w:numPr>
          <w:ilvl w:val="0"/>
          <w:numId w:val="11"/>
        </w:numPr>
      </w:pPr>
      <w:r w:rsidRPr="008F5985">
        <w:t>Discrimination systémique</w:t>
      </w:r>
      <w:r w:rsidR="001364DB">
        <w:t> :</w:t>
      </w:r>
      <w:r w:rsidRPr="008F5985">
        <w:t xml:space="preserve"> Discrimination résultant de l’interaction dynamique entre des décisions et des attitudes teintées de préjugés, ainsi que de modèles </w:t>
      </w:r>
      <w:r w:rsidRPr="008F5985">
        <w:lastRenderedPageBreak/>
        <w:t xml:space="preserve">organisationnels et de pratiques institutionnelles qui ont des effets préjudiciables, voulus ou non, sur des groupes protégés par la </w:t>
      </w:r>
      <w:r w:rsidR="00283E94" w:rsidRPr="008F5985">
        <w:t>Charte des droits et libertés de la personne</w:t>
      </w:r>
      <w:r w:rsidR="009D4EF2">
        <w:t xml:space="preserve">. </w:t>
      </w:r>
    </w:p>
    <w:p w:rsidR="009D4EF2" w:rsidRDefault="00ED20E2" w:rsidP="00C9625D">
      <w:pPr>
        <w:numPr>
          <w:ilvl w:val="0"/>
          <w:numId w:val="11"/>
        </w:numPr>
      </w:pPr>
      <w:r w:rsidRPr="008F5985">
        <w:t>Droit à l'égalité</w:t>
      </w:r>
      <w:r w:rsidR="001364DB">
        <w:t> :</w:t>
      </w:r>
      <w:r w:rsidRPr="008F5985">
        <w:t xml:space="preserve"> Droit garanti par la</w:t>
      </w:r>
      <w:r w:rsidR="00283E94" w:rsidRPr="008F5985">
        <w:t xml:space="preserve"> Charte des droits et libertés de la personne</w:t>
      </w:r>
      <w:r w:rsidRPr="008F5985">
        <w:t>, qui permet à toute personne d’exercer ses droits et libertés sans distinction, exclusion ou préférence</w:t>
      </w:r>
      <w:r w:rsidRPr="00814091">
        <w:t>, fondée sur un</w:t>
      </w:r>
      <w:r w:rsidRPr="008F5985">
        <w:t xml:space="preserve"> ou des motifs de discrimination interdits</w:t>
      </w:r>
      <w:r w:rsidR="009D4EF2">
        <w:t xml:space="preserve">. </w:t>
      </w:r>
    </w:p>
    <w:p w:rsidR="00ED20E2" w:rsidRPr="008F5985" w:rsidRDefault="00ED20E2" w:rsidP="00C9625D">
      <w:pPr>
        <w:numPr>
          <w:ilvl w:val="0"/>
          <w:numId w:val="11"/>
        </w:numPr>
      </w:pPr>
      <w:r w:rsidRPr="008F5985">
        <w:t>Groupes visés par les Programmes d’accès à l’égalité</w:t>
      </w:r>
      <w:r w:rsidR="001364DB">
        <w:t> :</w:t>
      </w:r>
      <w:r w:rsidRPr="008F5985">
        <w:t xml:space="preserve"> Les femmes, les Autochtones, les minorités visibles, les minorités ethniques et les personnes handicapées. </w:t>
      </w:r>
    </w:p>
    <w:p w:rsidR="00BB74E3" w:rsidRPr="008F5985" w:rsidRDefault="00BB74E3" w:rsidP="00C9625D">
      <w:pPr>
        <w:numPr>
          <w:ilvl w:val="0"/>
          <w:numId w:val="11"/>
        </w:numPr>
      </w:pPr>
      <w:r w:rsidRPr="008F5985">
        <w:t>Minorité visible</w:t>
      </w:r>
      <w:r w:rsidR="00D56D81" w:rsidRPr="00A6465D">
        <w:rPr>
          <w:vertAlign w:val="superscript"/>
        </w:rPr>
        <w:footnoteReference w:id="1"/>
      </w:r>
      <w:r w:rsidR="001364DB">
        <w:t> :</w:t>
      </w:r>
      <w:r w:rsidRPr="008F5985">
        <w:t xml:space="preserve"> Selon la Loi sur l'équité en matière d'emploi, désigne les personnes, autres que les Autochtones, qui ne sont pas de race blanche ou qui n'ont pas la peau blanche. </w:t>
      </w:r>
    </w:p>
    <w:p w:rsidR="00ED20E2" w:rsidRPr="008F5985" w:rsidRDefault="00ED20E2" w:rsidP="00C9625D">
      <w:pPr>
        <w:numPr>
          <w:ilvl w:val="0"/>
          <w:numId w:val="11"/>
        </w:numPr>
      </w:pPr>
      <w:r w:rsidRPr="008F5985">
        <w:t>Motif</w:t>
      </w:r>
      <w:r w:rsidR="00A6465D">
        <w:t>s</w:t>
      </w:r>
      <w:r w:rsidRPr="008F5985">
        <w:t xml:space="preserve"> de discrimination interdits par la Charte</w:t>
      </w:r>
      <w:r w:rsidR="001364DB">
        <w:t> :</w:t>
      </w:r>
      <w:r w:rsidRPr="008F5985">
        <w:t xml:space="preserve"> </w:t>
      </w:r>
      <w:r w:rsidR="00D13C71" w:rsidRPr="008F5985">
        <w:t>Ces motifs sont l</w:t>
      </w:r>
      <w:r w:rsidRPr="008F5985">
        <w:t xml:space="preserve">a race, la couleur, le sexe, l'identité de genre ou expression de genre, la grossesse, l'orientation sexuelle, l'état civil, l'âge (sauf dans la mesure prévue par la loi), la religion, les convictions politiques, la langue, l'origine ethnique ou nationale, la condition sociale, le handicap ou l'utilisation d'un moyen pour pallier ce handicap, </w:t>
      </w:r>
      <w:r w:rsidR="00814091">
        <w:t>tel qu’énoncé</w:t>
      </w:r>
      <w:r w:rsidRPr="00814091">
        <w:t xml:space="preserve"> à l’article</w:t>
      </w:r>
      <w:r w:rsidRPr="008F5985">
        <w:t xml:space="preserve"> 10. </w:t>
      </w:r>
    </w:p>
    <w:p w:rsidR="00ED20E2" w:rsidRPr="008F5985" w:rsidRDefault="00ED20E2" w:rsidP="00C9625D">
      <w:pPr>
        <w:numPr>
          <w:ilvl w:val="0"/>
          <w:numId w:val="11"/>
        </w:numPr>
      </w:pPr>
      <w:r w:rsidRPr="008F5985">
        <w:t>Obligation d’accommodement raisonnable</w:t>
      </w:r>
      <w:r w:rsidR="001364DB">
        <w:t> :</w:t>
      </w:r>
      <w:r w:rsidRPr="008F5985">
        <w:t xml:space="preserve"> Obligation juridique, découlant du droit à l’égalité, qui s’applique dans une situation de discrimination. Elle permet d’aménager une norme ou une pratique de portée universelle en accordant un traitement différentiel à une personne qui, autrement, serait pénalisée par l’application de cette norme. Il n’y a pas d’obligation d’accommodement en cas de contrainte excessive. </w:t>
      </w:r>
    </w:p>
    <w:p w:rsidR="009D4EF2" w:rsidRDefault="00ED20E2" w:rsidP="00C9625D">
      <w:pPr>
        <w:numPr>
          <w:ilvl w:val="0"/>
          <w:numId w:val="11"/>
        </w:numPr>
      </w:pPr>
      <w:r w:rsidRPr="008F5985">
        <w:t>Préjugé</w:t>
      </w:r>
      <w:r w:rsidR="001364DB">
        <w:t> :</w:t>
      </w:r>
      <w:r w:rsidRPr="008F5985">
        <w:t xml:space="preserve"> Parti pris, attitude ou opinion préconçue</w:t>
      </w:r>
      <w:r w:rsidR="009D4EF2">
        <w:t xml:space="preserve">. </w:t>
      </w:r>
    </w:p>
    <w:p w:rsidR="008E2F2F" w:rsidRDefault="00ED20E2" w:rsidP="000844BC">
      <w:pPr>
        <w:numPr>
          <w:ilvl w:val="0"/>
          <w:numId w:val="11"/>
        </w:numPr>
      </w:pPr>
      <w:r w:rsidRPr="008F5985">
        <w:t>Stéréotype</w:t>
      </w:r>
      <w:r w:rsidR="001364DB">
        <w:t> :</w:t>
      </w:r>
      <w:r w:rsidRPr="008F5985">
        <w:t xml:space="preserve"> Image préconçue, caricaturale et fondée sur des préjugés, attribuée et imposée aux membres d’un groupe par le milieu ou la culture de façon répétée. Le stéréotypage peut conduire à la discrimination et à l'exclusion.</w:t>
      </w:r>
      <w:r w:rsidR="008E2F2F">
        <w:t xml:space="preserve"> </w:t>
      </w:r>
    </w:p>
    <w:p w:rsidR="003D07B2" w:rsidRPr="008E2F2F" w:rsidRDefault="003D07B2" w:rsidP="008E2F2F">
      <w:pPr>
        <w:pStyle w:val="Heading1"/>
      </w:pPr>
      <w:bookmarkStart w:id="16" w:name="_Toc23781677"/>
      <w:r w:rsidRPr="008E2F2F">
        <w:lastRenderedPageBreak/>
        <w:t>Préambule</w:t>
      </w:r>
      <w:bookmarkEnd w:id="16"/>
    </w:p>
    <w:p w:rsidR="00B3646C" w:rsidRPr="000843C4" w:rsidRDefault="00B3646C" w:rsidP="008F5985">
      <w:r w:rsidRPr="000843C4">
        <w:t>Le présent mémoire s’inscrit dans le cadre de la consultation publique intitulée « </w:t>
      </w:r>
      <w:hyperlink r:id="rId12" w:history="1">
        <w:r w:rsidRPr="000843C4">
          <w:rPr>
            <w:rStyle w:val="Hyperlink"/>
          </w:rPr>
          <w:t>Racisme et discrimination systémiques</w:t>
        </w:r>
      </w:hyperlink>
      <w:r w:rsidRPr="000843C4">
        <w:t xml:space="preserve"> », menée par l’Office de consultation publique de Montréal (OCPM). </w:t>
      </w:r>
    </w:p>
    <w:p w:rsidR="009D4EF2" w:rsidRDefault="003F78E8" w:rsidP="008F5985">
      <w:r>
        <w:t>N</w:t>
      </w:r>
      <w:r w:rsidR="00C17D25" w:rsidRPr="000843C4">
        <w:t xml:space="preserve">ous tenons </w:t>
      </w:r>
      <w:r>
        <w:t xml:space="preserve">avant tout </w:t>
      </w:r>
      <w:r w:rsidR="00C17D25" w:rsidRPr="000843C4">
        <w:t xml:space="preserve">à saluer et remercier vivement les requérants, Montréal en action et le Centre de recherche-action sur les relations raciales (CRARR), qui ont rendu possible </w:t>
      </w:r>
      <w:r w:rsidR="00751E09" w:rsidRPr="000843C4">
        <w:t xml:space="preserve">cette </w:t>
      </w:r>
      <w:r w:rsidR="00C17D25" w:rsidRPr="000843C4">
        <w:t>consultation, en vertu du droit d’initiative</w:t>
      </w:r>
      <w:r w:rsidR="009D4EF2">
        <w:t xml:space="preserve">. </w:t>
      </w:r>
    </w:p>
    <w:p w:rsidR="005D6ADC" w:rsidRPr="000843C4" w:rsidRDefault="00E47EFE" w:rsidP="005D6ADC">
      <w:r>
        <w:t xml:space="preserve">Il </w:t>
      </w:r>
      <w:r w:rsidR="00F363F2">
        <w:t xml:space="preserve">nous </w:t>
      </w:r>
      <w:r>
        <w:t>paraît ensuite important d’</w:t>
      </w:r>
      <w:r w:rsidR="00F363F2">
        <w:t xml:space="preserve">expliquer </w:t>
      </w:r>
      <w:r>
        <w:t xml:space="preserve">les raisons pour lesquelles nous </w:t>
      </w:r>
      <w:r w:rsidR="00E265A1">
        <w:t xml:space="preserve">devions </w:t>
      </w:r>
      <w:r>
        <w:t xml:space="preserve">participer </w:t>
      </w:r>
      <w:r w:rsidR="005D6ADC">
        <w:t xml:space="preserve">à cette consultation. En effet, </w:t>
      </w:r>
      <w:r w:rsidR="00E265A1">
        <w:t xml:space="preserve">au </w:t>
      </w:r>
      <w:r w:rsidR="00BF0D25">
        <w:t>commencement</w:t>
      </w:r>
      <w:r w:rsidR="005D6ADC">
        <w:t>, l</w:t>
      </w:r>
      <w:r w:rsidR="005D6ADC" w:rsidRPr="000843C4">
        <w:t>a Ville de</w:t>
      </w:r>
      <w:r w:rsidR="00312DFD">
        <w:t xml:space="preserve"> Montréal indiquait</w:t>
      </w:r>
      <w:r w:rsidR="005D6ADC" w:rsidRPr="000843C4">
        <w:t xml:space="preserve"> dans le </w:t>
      </w:r>
      <w:hyperlink r:id="rId13" w:history="1">
        <w:r w:rsidR="005D6ADC" w:rsidRPr="000843C4">
          <w:rPr>
            <w:rStyle w:val="Hyperlink"/>
          </w:rPr>
          <w:t>document de consultation</w:t>
        </w:r>
      </w:hyperlink>
      <w:r w:rsidR="005D6ADC">
        <w:t xml:space="preserve"> qu</w:t>
      </w:r>
      <w:r w:rsidR="00502474">
        <w:t xml:space="preserve">e celle-ci </w:t>
      </w:r>
      <w:r w:rsidR="00A51B7E">
        <w:t xml:space="preserve">porterait </w:t>
      </w:r>
      <w:r w:rsidR="005D6ADC" w:rsidRPr="000843C4">
        <w:t xml:space="preserve">uniquement </w:t>
      </w:r>
      <w:r w:rsidR="00A51B7E">
        <w:t xml:space="preserve">sur </w:t>
      </w:r>
      <w:r w:rsidR="005D6ADC" w:rsidRPr="000843C4">
        <w:t xml:space="preserve">« le racisme et la discrimination </w:t>
      </w:r>
      <w:r w:rsidR="005D6ADC">
        <w:t>basés</w:t>
      </w:r>
      <w:r w:rsidR="005D6ADC" w:rsidRPr="000843C4">
        <w:t xml:space="preserve"> sur la « race », la couleur, la religion et l’origine ethnique ou nationale […] », et que les « autres motifs », y compris la discrimination fondée sur le handicap ou </w:t>
      </w:r>
      <w:r w:rsidR="005D6ADC">
        <w:t xml:space="preserve">l’utilisation d’un </w:t>
      </w:r>
      <w:r w:rsidR="005D6ADC" w:rsidRPr="000843C4">
        <w:t xml:space="preserve">moyen </w:t>
      </w:r>
      <w:r w:rsidR="005D6ADC">
        <w:t xml:space="preserve">pour </w:t>
      </w:r>
      <w:r w:rsidR="005D6ADC" w:rsidRPr="000843C4">
        <w:t xml:space="preserve">pallier </w:t>
      </w:r>
      <w:r w:rsidR="005D6ADC">
        <w:t>c</w:t>
      </w:r>
      <w:r w:rsidR="005D6ADC" w:rsidRPr="000843C4">
        <w:t xml:space="preserve">e handicap, ne </w:t>
      </w:r>
      <w:r w:rsidR="005D6ADC">
        <w:t>ser</w:t>
      </w:r>
      <w:r w:rsidR="005D6ADC" w:rsidRPr="000843C4">
        <w:t xml:space="preserve">aient abordés que dans une perspective intersectionnelle, </w:t>
      </w:r>
      <w:r w:rsidR="005D6ADC">
        <w:t>soit uniquement « </w:t>
      </w:r>
      <w:r w:rsidR="005D6ADC" w:rsidRPr="000843C4">
        <w:t xml:space="preserve">dans la mesure où ils se combinent aux motifs précités » </w:t>
      </w:r>
      <w:r w:rsidR="005D6ADC">
        <w:t>p</w:t>
      </w:r>
      <w:r w:rsidR="005D6ADC" w:rsidRPr="000843C4">
        <w:t>uisque « pour ces « autres » motifs, il existe des voies et mécanismes d’expression spécifiques</w:t>
      </w:r>
      <w:r w:rsidR="005D6ADC">
        <w:t>.</w:t>
      </w:r>
      <w:r w:rsidR="005D6ADC" w:rsidRPr="000843C4">
        <w:t> »</w:t>
      </w:r>
      <w:r w:rsidR="005D6ADC">
        <w:rPr>
          <w:rStyle w:val="FootnoteReference"/>
        </w:rPr>
        <w:footnoteReference w:id="2"/>
      </w:r>
      <w:r w:rsidR="005D6ADC" w:rsidRPr="000843C4">
        <w:t xml:space="preserve"> </w:t>
      </w:r>
    </w:p>
    <w:p w:rsidR="00D766FA" w:rsidRDefault="00995EDE" w:rsidP="005D6ADC">
      <w:r>
        <w:t>Cependant</w:t>
      </w:r>
      <w:r w:rsidR="003F6113">
        <w:t xml:space="preserve">, il faut savoir que </w:t>
      </w:r>
      <w:r w:rsidR="00FB5457">
        <w:t>l</w:t>
      </w:r>
      <w:r w:rsidR="003F6113">
        <w:t>es « </w:t>
      </w:r>
      <w:r w:rsidR="005D6ADC" w:rsidRPr="000843C4">
        <w:t>voies et mécanismes d’expression spécifiques »</w:t>
      </w:r>
      <w:r w:rsidR="005D6ADC">
        <w:t xml:space="preserve">, </w:t>
      </w:r>
      <w:r w:rsidR="005D6ADC" w:rsidRPr="000843C4">
        <w:t xml:space="preserve">qui permettent aux personnes ayant des limitations fonctionnelles de </w:t>
      </w:r>
      <w:r w:rsidR="005D6ADC">
        <w:t>s’exprimer</w:t>
      </w:r>
      <w:r w:rsidR="003F6113">
        <w:t xml:space="preserve">, </w:t>
      </w:r>
      <w:r w:rsidR="00D766FA">
        <w:t xml:space="preserve">avaient </w:t>
      </w:r>
      <w:r w:rsidR="004838B5">
        <w:t>pour principaux objectifs d’identifier l</w:t>
      </w:r>
      <w:r w:rsidR="003F6113">
        <w:t xml:space="preserve">es obstacles à </w:t>
      </w:r>
      <w:r w:rsidR="00F363F2">
        <w:t>l’accessibilité</w:t>
      </w:r>
      <w:r w:rsidR="003F6113">
        <w:t xml:space="preserve">, </w:t>
      </w:r>
      <w:r>
        <w:t xml:space="preserve">ainsi que </w:t>
      </w:r>
      <w:r w:rsidR="004838B5">
        <w:t>l</w:t>
      </w:r>
      <w:r w:rsidR="003F6113">
        <w:t>es actions ou moyens à mettre en place pour les réduire</w:t>
      </w:r>
      <w:r w:rsidR="00D766FA">
        <w:t xml:space="preserve">. Nous avons ainsi pris part à la </w:t>
      </w:r>
      <w:hyperlink r:id="rId14" w:history="1">
        <w:r w:rsidR="00D766FA" w:rsidRPr="008053BB">
          <w:rPr>
            <w:rStyle w:val="Hyperlink"/>
          </w:rPr>
          <w:t>consultation publique sur le projet de plan d’action en accessibilité universelle</w:t>
        </w:r>
      </w:hyperlink>
      <w:r w:rsidR="00D766FA">
        <w:t xml:space="preserve">, menée par le Service de la diversité et de l’inclusion sociale à l’automne 2018, et aux rencontres du </w:t>
      </w:r>
      <w:hyperlink r:id="rId15" w:history="1">
        <w:r w:rsidR="00D766FA" w:rsidRPr="00810F46">
          <w:rPr>
            <w:rStyle w:val="Hyperlink"/>
          </w:rPr>
          <w:t>Comité des partenaires en accessibilité universelle (CPAU)</w:t>
        </w:r>
      </w:hyperlink>
      <w:r w:rsidR="00D766FA">
        <w:t xml:space="preserve"> de la Ville de Montréal, qui se sont tenues jusqu’au printemps 2018</w:t>
      </w:r>
      <w:r w:rsidR="00D766FA" w:rsidRPr="00B44231">
        <w:t xml:space="preserve">. </w:t>
      </w:r>
      <w:r w:rsidR="00143211">
        <w:t>D</w:t>
      </w:r>
      <w:r w:rsidR="006F4BB7">
        <w:t xml:space="preserve">e tels </w:t>
      </w:r>
      <w:r w:rsidR="0093064F">
        <w:t xml:space="preserve">espaces de discussion contribuent effectivement à </w:t>
      </w:r>
      <w:r w:rsidR="00F363F2" w:rsidRPr="008F5985">
        <w:t>favoriser l’exercice des droits des personnes</w:t>
      </w:r>
      <w:r w:rsidR="003D47EE">
        <w:t xml:space="preserve"> ayant des limitations fonctionnelles</w:t>
      </w:r>
      <w:r w:rsidR="00F363F2">
        <w:t xml:space="preserve">, </w:t>
      </w:r>
      <w:r w:rsidR="00143211">
        <w:t xml:space="preserve">sans pour autant </w:t>
      </w:r>
      <w:r>
        <w:t xml:space="preserve">aborder </w:t>
      </w:r>
      <w:r w:rsidR="005D6ADC">
        <w:t>la discrimination dont elles sont victimes</w:t>
      </w:r>
      <w:r w:rsidR="003F6113">
        <w:t xml:space="preserve">. </w:t>
      </w:r>
    </w:p>
    <w:p w:rsidR="003F6113" w:rsidRPr="008F5985" w:rsidRDefault="003E4423" w:rsidP="003F6113">
      <w:r>
        <w:t xml:space="preserve">La présente </w:t>
      </w:r>
      <w:r w:rsidR="003F6113">
        <w:t>consultation nous offr</w:t>
      </w:r>
      <w:r w:rsidR="00657873">
        <w:t>e</w:t>
      </w:r>
      <w:r w:rsidR="003F6113">
        <w:t xml:space="preserve"> </w:t>
      </w:r>
      <w:r>
        <w:t xml:space="preserve">donc </w:t>
      </w:r>
      <w:r w:rsidR="003F6113" w:rsidRPr="008F5985">
        <w:t xml:space="preserve">l’opportunité </w:t>
      </w:r>
      <w:r>
        <w:t xml:space="preserve">de </w:t>
      </w:r>
      <w:r w:rsidR="00F4713D">
        <w:t xml:space="preserve">démontrer </w:t>
      </w:r>
      <w:r w:rsidR="003F6113" w:rsidRPr="008F5985">
        <w:t>l’aspect discriminatoire de</w:t>
      </w:r>
      <w:r>
        <w:t>s</w:t>
      </w:r>
      <w:r w:rsidR="003F6113" w:rsidRPr="008F5985">
        <w:t xml:space="preserve"> </w:t>
      </w:r>
      <w:r>
        <w:t>obstacles rencontrés par les personnes ayant des limitations fonctionnelles</w:t>
      </w:r>
      <w:r w:rsidR="003F6113" w:rsidRPr="008F5985">
        <w:t>, ainsi que leurs conséquences, en termes de perte de libertés et d’exercice de droits fondamentaux.</w:t>
      </w:r>
    </w:p>
    <w:p w:rsidR="003F6113" w:rsidRDefault="003F6113">
      <w:pPr>
        <w:spacing w:before="0" w:after="160" w:line="259" w:lineRule="auto"/>
      </w:pPr>
      <w:r>
        <w:br w:type="page"/>
      </w:r>
    </w:p>
    <w:p w:rsidR="00610FF6" w:rsidRPr="000843C4" w:rsidRDefault="00751E09" w:rsidP="008F5985">
      <w:r w:rsidRPr="000843C4">
        <w:lastRenderedPageBreak/>
        <w:t xml:space="preserve">Grâce au soutien </w:t>
      </w:r>
      <w:r w:rsidR="001B5553" w:rsidRPr="000843C4">
        <w:t xml:space="preserve">logistique et financier </w:t>
      </w:r>
      <w:r w:rsidRPr="000843C4">
        <w:t xml:space="preserve">de l’OCPM, </w:t>
      </w:r>
      <w:r w:rsidR="003D07B2" w:rsidRPr="000843C4">
        <w:t>DéPhy Montréal a organisé</w:t>
      </w:r>
      <w:r w:rsidR="001849BB" w:rsidRPr="000843C4">
        <w:t xml:space="preserve">, le 25 septembre dernier, </w:t>
      </w:r>
      <w:r w:rsidR="003D07B2" w:rsidRPr="000843C4">
        <w:t>une activité contributive citoyenne</w:t>
      </w:r>
      <w:r w:rsidR="001849BB" w:rsidRPr="000843C4">
        <w:t>,</w:t>
      </w:r>
      <w:r w:rsidR="003D07B2" w:rsidRPr="000843C4">
        <w:t xml:space="preserve"> avec des représentantes et représentants de ses groupes membres et partenaires. </w:t>
      </w:r>
      <w:r w:rsidR="00EC415B" w:rsidRPr="000843C4">
        <w:t xml:space="preserve">Pour </w:t>
      </w:r>
      <w:r w:rsidR="00EC415B" w:rsidRPr="000361B7">
        <w:t xml:space="preserve">la plupart, </w:t>
      </w:r>
      <w:r w:rsidRPr="000361B7">
        <w:t>l</w:t>
      </w:r>
      <w:r w:rsidR="00EC415B" w:rsidRPr="000361B7">
        <w:t>es</w:t>
      </w:r>
      <w:r w:rsidR="00EC415B" w:rsidRPr="000843C4">
        <w:t xml:space="preserve"> personnes </w:t>
      </w:r>
      <w:r w:rsidRPr="000843C4">
        <w:t xml:space="preserve">présentes </w:t>
      </w:r>
      <w:r w:rsidR="00EC415B" w:rsidRPr="000843C4">
        <w:t xml:space="preserve">appartenaient à un ou à plusieurs des groupes visés par l’article 10 de la </w:t>
      </w:r>
      <w:hyperlink r:id="rId16" w:history="1">
        <w:r w:rsidR="00EC415B" w:rsidRPr="00A6465D">
          <w:rPr>
            <w:rStyle w:val="Hyperlink"/>
          </w:rPr>
          <w:t>Charte</w:t>
        </w:r>
        <w:r w:rsidRPr="00A6465D">
          <w:rPr>
            <w:rStyle w:val="Hyperlink"/>
          </w:rPr>
          <w:t xml:space="preserve"> des droits et libertés de la personne</w:t>
        </w:r>
      </w:hyperlink>
      <w:r w:rsidRPr="00A6465D">
        <w:t xml:space="preserve"> du Québec</w:t>
      </w:r>
      <w:r w:rsidRPr="000843C4">
        <w:t xml:space="preserve"> (ci-après « la Charte »)</w:t>
      </w:r>
      <w:r w:rsidR="00EC415B" w:rsidRPr="000843C4">
        <w:t xml:space="preserve">. </w:t>
      </w:r>
    </w:p>
    <w:p w:rsidR="009D4EF2" w:rsidRDefault="003F6113" w:rsidP="008F5985">
      <w:r>
        <w:t>L</w:t>
      </w:r>
      <w:r w:rsidR="00AC0431">
        <w:t xml:space="preserve">es personnes participantes </w:t>
      </w:r>
      <w:r w:rsidR="004B4764" w:rsidRPr="000843C4">
        <w:t>nous ont rapporté qu’</w:t>
      </w:r>
      <w:r w:rsidR="00AC0431">
        <w:t>elle</w:t>
      </w:r>
      <w:r w:rsidR="004B4764" w:rsidRPr="000843C4">
        <w:t>s</w:t>
      </w:r>
      <w:r w:rsidR="000361B7">
        <w:t xml:space="preserve">-mêmes, ou les personnes qu’elles </w:t>
      </w:r>
      <w:r w:rsidR="000361B7" w:rsidRPr="000361B7">
        <w:t>représentaient,</w:t>
      </w:r>
      <w:r w:rsidR="004B4764" w:rsidRPr="000361B7">
        <w:t xml:space="preserve"> </w:t>
      </w:r>
      <w:r w:rsidR="007B4EB7" w:rsidRPr="000361B7">
        <w:t xml:space="preserve">ont </w:t>
      </w:r>
      <w:r w:rsidR="009D2809" w:rsidRPr="000361B7">
        <w:t xml:space="preserve">toutes </w:t>
      </w:r>
      <w:r w:rsidR="00460BC0" w:rsidRPr="000361B7">
        <w:t>été,</w:t>
      </w:r>
      <w:r w:rsidR="00460BC0">
        <w:t xml:space="preserve"> et sont encore</w:t>
      </w:r>
      <w:r w:rsidR="00D451BA">
        <w:t>,</w:t>
      </w:r>
      <w:r w:rsidR="00460BC0">
        <w:t xml:space="preserve"> quotidiennement </w:t>
      </w:r>
      <w:r w:rsidR="000919F4" w:rsidRPr="000843C4">
        <w:t>victimes</w:t>
      </w:r>
      <w:r w:rsidR="007B4EB7" w:rsidRPr="000843C4">
        <w:t xml:space="preserve"> de discrimination fondée sur</w:t>
      </w:r>
      <w:r w:rsidR="00241E1A">
        <w:t xml:space="preserve"> </w:t>
      </w:r>
      <w:r w:rsidR="00241E1A" w:rsidRPr="00241E1A">
        <w:t>le handicap ou l'utilisation d'un moyen pour pallier ce handicap</w:t>
      </w:r>
      <w:r w:rsidR="000919F4" w:rsidRPr="00241E1A">
        <w:t>.</w:t>
      </w:r>
      <w:r w:rsidR="007E3EC6" w:rsidRPr="000843C4">
        <w:t xml:space="preserve"> </w:t>
      </w:r>
      <w:r w:rsidR="004B4764" w:rsidRPr="000843C4">
        <w:t xml:space="preserve">En outre, </w:t>
      </w:r>
      <w:r w:rsidR="003A21F0" w:rsidRPr="000843C4">
        <w:t>quel</w:t>
      </w:r>
      <w:r w:rsidR="00A90975">
        <w:t>le</w:t>
      </w:r>
      <w:r w:rsidR="003A21F0" w:rsidRPr="000843C4">
        <w:t xml:space="preserve"> que soit </w:t>
      </w:r>
      <w:r w:rsidR="007A6D7C">
        <w:t>leur race, leur couleur</w:t>
      </w:r>
      <w:r w:rsidR="00A90975">
        <w:t>, leur religion</w:t>
      </w:r>
      <w:r w:rsidR="007A6D7C">
        <w:t xml:space="preserve"> ou leur origine ethnique ou nationale, </w:t>
      </w:r>
      <w:r w:rsidR="004B4764" w:rsidRPr="000843C4">
        <w:t xml:space="preserve">nous avons constaté que </w:t>
      </w:r>
      <w:r w:rsidR="00180E4E">
        <w:t xml:space="preserve">les situations qu’elles ont </w:t>
      </w:r>
      <w:r w:rsidR="003A21F0" w:rsidRPr="000843C4">
        <w:t>vécu</w:t>
      </w:r>
      <w:r w:rsidR="00180E4E">
        <w:t>es</w:t>
      </w:r>
      <w:r w:rsidR="009D2809">
        <w:t xml:space="preserve"> </w:t>
      </w:r>
      <w:r w:rsidR="00180E4E">
        <w:t xml:space="preserve">en raison de leurs limitations fonctionnelles </w:t>
      </w:r>
      <w:r w:rsidR="009F03F9" w:rsidRPr="000843C4">
        <w:t>étai</w:t>
      </w:r>
      <w:r w:rsidR="00180E4E">
        <w:t>en</w:t>
      </w:r>
      <w:r w:rsidR="009F03F9" w:rsidRPr="000843C4">
        <w:t xml:space="preserve">t très </w:t>
      </w:r>
      <w:r w:rsidR="003A21F0" w:rsidRPr="000843C4">
        <w:t>similaire</w:t>
      </w:r>
      <w:r w:rsidR="00180E4E">
        <w:t>s</w:t>
      </w:r>
      <w:r w:rsidR="003A21F0" w:rsidRPr="000843C4">
        <w:t xml:space="preserve">, </w:t>
      </w:r>
      <w:r w:rsidR="009F03F9" w:rsidRPr="000843C4">
        <w:t>et que</w:t>
      </w:r>
      <w:r w:rsidR="006C7E53">
        <w:t xml:space="preserve"> </w:t>
      </w:r>
      <w:r w:rsidR="006C7E53" w:rsidRPr="006C7E53">
        <w:t>le handicap ou l'utilisation d'un moyen pour pallier ce handicap</w:t>
      </w:r>
      <w:r w:rsidR="009F03F9" w:rsidRPr="000843C4">
        <w:t xml:space="preserve">, </w:t>
      </w:r>
      <w:r w:rsidR="00B870CD">
        <w:t xml:space="preserve">précédait </w:t>
      </w:r>
      <w:r w:rsidR="004E4542">
        <w:t xml:space="preserve">(en terme de chronologie et non de hiérarchie) </w:t>
      </w:r>
      <w:r w:rsidR="009F03F9" w:rsidRPr="000843C4">
        <w:t xml:space="preserve">généralement tout autre </w:t>
      </w:r>
      <w:r w:rsidR="00E34170" w:rsidRPr="000843C4">
        <w:t xml:space="preserve">motif </w:t>
      </w:r>
      <w:r w:rsidR="004E4542">
        <w:t>de discrimination, sans pour autant en limiter les effets</w:t>
      </w:r>
      <w:r w:rsidR="009D4EF2">
        <w:t xml:space="preserve">. </w:t>
      </w:r>
    </w:p>
    <w:p w:rsidR="00CD063F" w:rsidRPr="000843C4" w:rsidRDefault="002A4C47" w:rsidP="008F5985">
      <w:r>
        <w:t>Du reste</w:t>
      </w:r>
      <w:r w:rsidR="00CD063F" w:rsidRPr="000843C4">
        <w:t xml:space="preserve">, comme nous le </w:t>
      </w:r>
      <w:r w:rsidR="005D654C">
        <w:t>mentionn</w:t>
      </w:r>
      <w:r w:rsidR="00CD063F" w:rsidRPr="000843C4">
        <w:t xml:space="preserve">ait </w:t>
      </w:r>
      <w:r w:rsidR="00E34170" w:rsidRPr="000843C4">
        <w:t>un participant</w:t>
      </w:r>
      <w:r w:rsidR="00CD063F" w:rsidRPr="000843C4">
        <w:t>, « […]</w:t>
      </w:r>
      <w:r w:rsidR="009B2930">
        <w:t xml:space="preserve"> </w:t>
      </w:r>
      <w:r w:rsidR="00F00D6A" w:rsidRPr="000843C4">
        <w:t xml:space="preserve">je ne sais </w:t>
      </w:r>
      <w:r w:rsidR="009D2809">
        <w:t xml:space="preserve">pas </w:t>
      </w:r>
      <w:r w:rsidR="00CD063F" w:rsidRPr="000843C4">
        <w:t xml:space="preserve">si la couleur de ma peau aurait </w:t>
      </w:r>
      <w:r w:rsidR="00F00D6A" w:rsidRPr="000843C4">
        <w:t xml:space="preserve">influencé </w:t>
      </w:r>
      <w:r w:rsidR="00CD063F" w:rsidRPr="000843C4">
        <w:t xml:space="preserve">le fait d’obtenir ou non </w:t>
      </w:r>
      <w:r w:rsidR="009C4A65">
        <w:t xml:space="preserve">cet </w:t>
      </w:r>
      <w:r w:rsidR="00CD063F" w:rsidRPr="000843C4">
        <w:t xml:space="preserve">emploi à la Ville. […] Pour le savoir, il aurait déjà fallu que </w:t>
      </w:r>
      <w:r w:rsidR="004C0E30" w:rsidRPr="000843C4">
        <w:t xml:space="preserve">je puisse passer les tests, </w:t>
      </w:r>
      <w:r w:rsidR="00F81A3E">
        <w:t xml:space="preserve">[…] </w:t>
      </w:r>
      <w:r w:rsidR="004C0E30" w:rsidRPr="000843C4">
        <w:t xml:space="preserve">que </w:t>
      </w:r>
      <w:r w:rsidR="00FD5964" w:rsidRPr="000843C4">
        <w:t xml:space="preserve">mon </w:t>
      </w:r>
      <w:r w:rsidR="00287B4B" w:rsidRPr="000843C4">
        <w:t xml:space="preserve">préposé </w:t>
      </w:r>
      <w:r w:rsidR="00FD5964" w:rsidRPr="000843C4">
        <w:t xml:space="preserve">arrive </w:t>
      </w:r>
      <w:r w:rsidR="004C0E30" w:rsidRPr="000843C4">
        <w:t xml:space="preserve">encore plus </w:t>
      </w:r>
      <w:r w:rsidR="00287B4B" w:rsidRPr="000843C4">
        <w:t>tôt le matin</w:t>
      </w:r>
      <w:r w:rsidR="00FD5964" w:rsidRPr="000843C4">
        <w:t xml:space="preserve">, que la rampe de l’autobus </w:t>
      </w:r>
      <w:r w:rsidR="009D2809">
        <w:t xml:space="preserve">réussisse à </w:t>
      </w:r>
      <w:r w:rsidR="00FD5964" w:rsidRPr="000843C4">
        <w:t>se déplo</w:t>
      </w:r>
      <w:r w:rsidR="009D2809">
        <w:t>y</w:t>
      </w:r>
      <w:r w:rsidR="00FD5964" w:rsidRPr="000843C4">
        <w:t>e</w:t>
      </w:r>
      <w:r w:rsidR="009D2809">
        <w:t>r</w:t>
      </w:r>
      <w:r w:rsidR="00FD5964" w:rsidRPr="000843C4">
        <w:t xml:space="preserve"> pour que </w:t>
      </w:r>
      <w:r w:rsidR="004C0E30" w:rsidRPr="000843C4">
        <w:t>je ne soi</w:t>
      </w:r>
      <w:r w:rsidR="00E34170" w:rsidRPr="000843C4">
        <w:t>s</w:t>
      </w:r>
      <w:r w:rsidR="004C0E30" w:rsidRPr="000843C4">
        <w:t xml:space="preserve"> pas obligé d’attendre le suivant</w:t>
      </w:r>
      <w:r w:rsidR="009D2809">
        <w:t>,</w:t>
      </w:r>
      <w:r w:rsidR="004C0E30" w:rsidRPr="000843C4">
        <w:t xml:space="preserve"> et </w:t>
      </w:r>
      <w:r w:rsidR="009D2809">
        <w:t xml:space="preserve">aussi, </w:t>
      </w:r>
      <w:r w:rsidR="004C0E30" w:rsidRPr="000843C4">
        <w:t xml:space="preserve">que la porte de l’entrée accessible ne soit pas </w:t>
      </w:r>
      <w:r w:rsidR="00143712" w:rsidRPr="000843C4">
        <w:t xml:space="preserve">encombrée </w:t>
      </w:r>
      <w:r w:rsidR="004C0E30" w:rsidRPr="000843C4">
        <w:t xml:space="preserve">par des bacs de poubelles </w:t>
      </w:r>
      <w:r w:rsidR="00E34170" w:rsidRPr="000843C4">
        <w:t xml:space="preserve">ce </w:t>
      </w:r>
      <w:r w:rsidR="00143712" w:rsidRPr="000843C4">
        <w:t>matin</w:t>
      </w:r>
      <w:r w:rsidR="00E34170" w:rsidRPr="000843C4">
        <w:t xml:space="preserve">-là </w:t>
      </w:r>
      <w:r w:rsidR="004C0E30" w:rsidRPr="000843C4">
        <w:t>[…].</w:t>
      </w:r>
      <w:r w:rsidR="00E34170" w:rsidRPr="000843C4">
        <w:t xml:space="preserve"> Tu as beau </w:t>
      </w:r>
      <w:r w:rsidR="009C4A65">
        <w:t xml:space="preserve">tout planifier et </w:t>
      </w:r>
      <w:r w:rsidR="00E34170" w:rsidRPr="000843C4">
        <w:t>te préparer comme il faut, il arrive toujours quelque chose que tu n’as pas prévu. »</w:t>
      </w:r>
    </w:p>
    <w:p w:rsidR="00442943" w:rsidRPr="000843C4" w:rsidRDefault="00BE2CD5" w:rsidP="008F5985">
      <w:r>
        <w:t>En</w:t>
      </w:r>
      <w:r w:rsidR="002A4C47">
        <w:t xml:space="preserve"> somme</w:t>
      </w:r>
      <w:r w:rsidR="00C91671">
        <w:t xml:space="preserve">, </w:t>
      </w:r>
      <w:r>
        <w:t xml:space="preserve">nous devons </w:t>
      </w:r>
      <w:r w:rsidR="009A70E2">
        <w:t xml:space="preserve">toujours </w:t>
      </w:r>
      <w:r w:rsidR="00B778BA">
        <w:t>garde</w:t>
      </w:r>
      <w:r w:rsidR="009A70E2">
        <w:t>r</w:t>
      </w:r>
      <w:r w:rsidR="00B778BA">
        <w:t xml:space="preserve"> à l’esprit que chaque journée d’une personne </w:t>
      </w:r>
      <w:r w:rsidR="003D47EE">
        <w:t xml:space="preserve">ayant des limitations fonctionnelles </w:t>
      </w:r>
      <w:r w:rsidR="00B778BA">
        <w:t xml:space="preserve">est constituée d’une multitude d’obstacles </w:t>
      </w:r>
      <w:r w:rsidR="00761632">
        <w:t xml:space="preserve">plus ou moins importants </w:t>
      </w:r>
      <w:r w:rsidR="00B778BA">
        <w:t>à surmonter</w:t>
      </w:r>
      <w:r w:rsidR="001364DB">
        <w:t> :</w:t>
      </w:r>
      <w:r w:rsidR="009A70E2">
        <w:t xml:space="preserve"> </w:t>
      </w:r>
      <w:r w:rsidR="00162F71">
        <w:t xml:space="preserve">il suffit </w:t>
      </w:r>
      <w:r w:rsidR="00553BC1">
        <w:t xml:space="preserve">par exemple </w:t>
      </w:r>
      <w:r w:rsidR="00162F71">
        <w:t xml:space="preserve">d’une </w:t>
      </w:r>
      <w:r w:rsidR="00500A00">
        <w:t xml:space="preserve">seule </w:t>
      </w:r>
      <w:r w:rsidR="00162F71">
        <w:t>marche un peu trop haute</w:t>
      </w:r>
      <w:r>
        <w:t>,</w:t>
      </w:r>
      <w:r w:rsidR="00162F71">
        <w:t xml:space="preserve"> ou d’un dispositif tactile sans fonction vocale</w:t>
      </w:r>
      <w:r>
        <w:t>,</w:t>
      </w:r>
      <w:r w:rsidR="00162F71">
        <w:t xml:space="preserve"> pour faire échouer tout un processus</w:t>
      </w:r>
      <w:r w:rsidR="009A70E2">
        <w:t>.</w:t>
      </w:r>
      <w:r w:rsidR="00057D8B">
        <w:t xml:space="preserve"> </w:t>
      </w:r>
      <w:r>
        <w:t>Ce</w:t>
      </w:r>
      <w:r w:rsidR="00500A00">
        <w:t>la</w:t>
      </w:r>
      <w:r>
        <w:t xml:space="preserve"> fait, i</w:t>
      </w:r>
      <w:r w:rsidR="00162F71">
        <w:t xml:space="preserve">l </w:t>
      </w:r>
      <w:r>
        <w:t xml:space="preserve">devient plus </w:t>
      </w:r>
      <w:r w:rsidR="009F0B91">
        <w:t xml:space="preserve">facile </w:t>
      </w:r>
      <w:r w:rsidR="00162F71">
        <w:t>de comprendre que pour la personne ayant des limitations fonctionnelles, l</w:t>
      </w:r>
      <w:r w:rsidR="00B778BA">
        <w:t xml:space="preserve">a réalisation </w:t>
      </w:r>
      <w:r w:rsidR="009F0B91">
        <w:t xml:space="preserve">de chaque </w:t>
      </w:r>
      <w:r w:rsidR="009B2930">
        <w:t xml:space="preserve">tâche, </w:t>
      </w:r>
      <w:r w:rsidR="00643130">
        <w:t>quel</w:t>
      </w:r>
      <w:r w:rsidR="007D182D">
        <w:t xml:space="preserve"> </w:t>
      </w:r>
      <w:r w:rsidR="009B2930">
        <w:t>qu’en</w:t>
      </w:r>
      <w:r w:rsidR="00B778BA">
        <w:t xml:space="preserve"> soit le fardeau physique ou psychologique, devient le but à atteindre</w:t>
      </w:r>
      <w:r w:rsidR="009F0B91">
        <w:t xml:space="preserve">. Dès lors, </w:t>
      </w:r>
      <w:r w:rsidR="00162F71">
        <w:t xml:space="preserve">l’aspect « raisonnable » de l’effort </w:t>
      </w:r>
      <w:r w:rsidR="00286AE1">
        <w:t xml:space="preserve">à fournir </w:t>
      </w:r>
      <w:r w:rsidR="00162F71">
        <w:t>pour</w:t>
      </w:r>
      <w:r w:rsidR="009F0B91">
        <w:t xml:space="preserve"> y parvenir devient secondaire, et le caractère discriminatoire </w:t>
      </w:r>
      <w:r w:rsidR="006521BC">
        <w:t xml:space="preserve">du ou des facteurs à l’origine de </w:t>
      </w:r>
      <w:r w:rsidR="00DA3D4E">
        <w:t>l’</w:t>
      </w:r>
      <w:r w:rsidR="006521BC">
        <w:t>effort</w:t>
      </w:r>
      <w:r w:rsidR="00C44567">
        <w:t xml:space="preserve"> </w:t>
      </w:r>
      <w:r w:rsidR="00DA3D4E">
        <w:t xml:space="preserve">à fournir </w:t>
      </w:r>
      <w:r w:rsidR="00C44567">
        <w:t>est totalement occulté</w:t>
      </w:r>
      <w:r w:rsidR="00286AE1">
        <w:t>.</w:t>
      </w:r>
      <w:r w:rsidR="00832D2E">
        <w:t xml:space="preserve"> Au demeurant</w:t>
      </w:r>
      <w:r w:rsidR="00C44567">
        <w:t xml:space="preserve">, la </w:t>
      </w:r>
      <w:r w:rsidR="00DA3D4E">
        <w:t xml:space="preserve">plupart </w:t>
      </w:r>
      <w:r w:rsidR="00C44567">
        <w:t xml:space="preserve">des personnes </w:t>
      </w:r>
      <w:r w:rsidR="003D47EE">
        <w:t xml:space="preserve">ayant des limitations fonctionnelles </w:t>
      </w:r>
      <w:r w:rsidR="0014487A">
        <w:t>n’</w:t>
      </w:r>
      <w:r w:rsidR="00DA3D4E">
        <w:t>ont</w:t>
      </w:r>
      <w:r w:rsidR="0014487A">
        <w:t xml:space="preserve"> même plus conscience, sauf dans quelques </w:t>
      </w:r>
      <w:r w:rsidR="00DA3D4E">
        <w:t xml:space="preserve">rares </w:t>
      </w:r>
      <w:r w:rsidR="0014487A">
        <w:t xml:space="preserve">cas de discrimination directe avérée, qu’elles vivent de la discrimination systémique au quotidien, </w:t>
      </w:r>
      <w:r w:rsidR="00AE4076">
        <w:t xml:space="preserve">car </w:t>
      </w:r>
      <w:r w:rsidR="00B44231">
        <w:t>l’environnement</w:t>
      </w:r>
      <w:r w:rsidR="00AE4076">
        <w:t xml:space="preserve">, individuellement ou pris dans un ensemble, n’a </w:t>
      </w:r>
      <w:r w:rsidR="00B44231">
        <w:t xml:space="preserve">généralement </w:t>
      </w:r>
      <w:r w:rsidR="00AE4076">
        <w:t xml:space="preserve">pas </w:t>
      </w:r>
      <w:r w:rsidR="00AE4076" w:rsidRPr="00B44231">
        <w:t>été conçu en tenant</w:t>
      </w:r>
      <w:r w:rsidR="006C1AA7">
        <w:t xml:space="preserve"> compte de leurs besoins ni</w:t>
      </w:r>
      <w:r w:rsidR="00AE4076">
        <w:t xml:space="preserve"> de leur</w:t>
      </w:r>
      <w:r w:rsidR="009B2930">
        <w:t>s</w:t>
      </w:r>
      <w:r w:rsidR="00AE4076">
        <w:t xml:space="preserve"> réalité</w:t>
      </w:r>
      <w:r w:rsidR="009B2930">
        <w:t>s</w:t>
      </w:r>
      <w:r w:rsidR="00AE4076">
        <w:t xml:space="preserve">. </w:t>
      </w:r>
    </w:p>
    <w:p w:rsidR="003A1696" w:rsidRDefault="00600D46" w:rsidP="008F5985">
      <w:r>
        <w:lastRenderedPageBreak/>
        <w:t>N</w:t>
      </w:r>
      <w:r w:rsidR="003A1696">
        <w:t xml:space="preserve">ous remercions </w:t>
      </w:r>
      <w:r>
        <w:t xml:space="preserve">donc </w:t>
      </w:r>
      <w:r w:rsidR="003A1696">
        <w:t xml:space="preserve">l’OCPM d’avoir élargi les critères de cette consultation en </w:t>
      </w:r>
      <w:r w:rsidR="003615A3">
        <w:t xml:space="preserve">y </w:t>
      </w:r>
      <w:r w:rsidR="003A1696">
        <w:t xml:space="preserve">incluant l’ensemble des groupes reconnus comme </w:t>
      </w:r>
      <w:r w:rsidR="003A1696" w:rsidRPr="0002445F">
        <w:t>« victimes de discrimination »</w:t>
      </w:r>
      <w:r w:rsidR="003A1696">
        <w:rPr>
          <w:rStyle w:val="FootnoteReference"/>
        </w:rPr>
        <w:footnoteReference w:id="3"/>
      </w:r>
      <w:r w:rsidR="003A1696">
        <w:t>, nous donna</w:t>
      </w:r>
      <w:r w:rsidR="003A1696" w:rsidRPr="00016AF6">
        <w:t xml:space="preserve">nt ainsi </w:t>
      </w:r>
      <w:r w:rsidR="004C1DE1">
        <w:t xml:space="preserve">l’occasion de nous exprimer sur ce sujet. </w:t>
      </w:r>
    </w:p>
    <w:p w:rsidR="003A1696" w:rsidRDefault="003A1696" w:rsidP="008F5985">
      <w:r>
        <w:t xml:space="preserve">Nous souhaitons </w:t>
      </w:r>
      <w:r w:rsidR="003C4DB7">
        <w:t xml:space="preserve">aussi </w:t>
      </w:r>
      <w:r>
        <w:t xml:space="preserve">remercier </w:t>
      </w:r>
      <w:r w:rsidR="00E8199A">
        <w:t xml:space="preserve">Madame </w:t>
      </w:r>
      <w:r>
        <w:t>Julie Fortier</w:t>
      </w:r>
      <w:r w:rsidR="00E8199A">
        <w:t>,</w:t>
      </w:r>
      <w:r>
        <w:t xml:space="preserve"> du Service des affaires juridiques de la ville de Montréal</w:t>
      </w:r>
      <w:r w:rsidR="00E8199A">
        <w:t xml:space="preserve">, </w:t>
      </w:r>
      <w:r>
        <w:t xml:space="preserve">ainsi que </w:t>
      </w:r>
      <w:r w:rsidR="00E8199A">
        <w:t xml:space="preserve">Monsieur </w:t>
      </w:r>
      <w:r>
        <w:t xml:space="preserve">Fo Niemi </w:t>
      </w:r>
      <w:r w:rsidR="00E8199A">
        <w:t xml:space="preserve">et son équipe, </w:t>
      </w:r>
      <w:r>
        <w:t xml:space="preserve">du </w:t>
      </w:r>
      <w:r w:rsidR="00CA2E26" w:rsidRPr="000843C4">
        <w:t>Centre de recherche-action sur les relations raciales (CRARR)</w:t>
      </w:r>
      <w:r w:rsidR="00E8199A">
        <w:t>,</w:t>
      </w:r>
      <w:r>
        <w:t xml:space="preserve"> </w:t>
      </w:r>
      <w:r w:rsidR="00E8199A">
        <w:t xml:space="preserve">dont les </w:t>
      </w:r>
      <w:r>
        <w:t xml:space="preserve">présentations sur les compétences municipales et </w:t>
      </w:r>
      <w:r w:rsidR="00E8199A">
        <w:t xml:space="preserve">sur </w:t>
      </w:r>
      <w:r>
        <w:t>la discrimination systémique</w:t>
      </w:r>
      <w:r w:rsidR="00E8199A">
        <w:t xml:space="preserve">, nous ont </w:t>
      </w:r>
      <w:r w:rsidR="005E1925">
        <w:t xml:space="preserve">permis de </w:t>
      </w:r>
      <w:r w:rsidR="00E8199A">
        <w:t xml:space="preserve">mieux </w:t>
      </w:r>
      <w:r w:rsidR="003615A3">
        <w:t xml:space="preserve">circonscrire les échanges avec les participants, et </w:t>
      </w:r>
      <w:r w:rsidR="005E1925">
        <w:t>d’</w:t>
      </w:r>
      <w:r w:rsidR="003615A3">
        <w:t>aliment</w:t>
      </w:r>
      <w:r w:rsidR="005E1925">
        <w:t>er notre réflexion.</w:t>
      </w:r>
      <w:r w:rsidR="001B1F43">
        <w:t xml:space="preserve"> </w:t>
      </w:r>
    </w:p>
    <w:p w:rsidR="00225F22" w:rsidRDefault="003C4DB7" w:rsidP="008F5985">
      <w:r>
        <w:t xml:space="preserve">Finalement, </w:t>
      </w:r>
      <w:r w:rsidR="0027500E">
        <w:t xml:space="preserve">dans </w:t>
      </w:r>
      <w:r>
        <w:t xml:space="preserve">ce mémoire, nous voulons </w:t>
      </w:r>
      <w:r w:rsidR="003A1696" w:rsidRPr="000843C4">
        <w:t xml:space="preserve">donner une voix </w:t>
      </w:r>
      <w:r w:rsidR="005E1925">
        <w:t xml:space="preserve">aux </w:t>
      </w:r>
      <w:r w:rsidR="003A1696" w:rsidRPr="000843C4">
        <w:t>personnes</w:t>
      </w:r>
      <w:r w:rsidR="005E1925">
        <w:t xml:space="preserve"> ayant des limitations fonctionnelles</w:t>
      </w:r>
      <w:r w:rsidR="003A1696" w:rsidRPr="000843C4">
        <w:t>, mettre en valeur et faire connaître le</w:t>
      </w:r>
      <w:r w:rsidR="00225F22">
        <w:t>ur</w:t>
      </w:r>
      <w:r w:rsidR="003A1696" w:rsidRPr="000843C4">
        <w:t xml:space="preserve">s réflexions et </w:t>
      </w:r>
      <w:r w:rsidR="00225F22">
        <w:t xml:space="preserve">les </w:t>
      </w:r>
      <w:r w:rsidR="003A1696" w:rsidRPr="000843C4">
        <w:t xml:space="preserve">expériences qu’elles </w:t>
      </w:r>
      <w:r w:rsidR="003A1696">
        <w:t xml:space="preserve">ont </w:t>
      </w:r>
      <w:r w:rsidR="00425FF7">
        <w:t xml:space="preserve">accepté de </w:t>
      </w:r>
      <w:r w:rsidR="003A1696" w:rsidRPr="000843C4">
        <w:t>partag</w:t>
      </w:r>
      <w:r w:rsidR="003A1696">
        <w:t xml:space="preserve">er </w:t>
      </w:r>
      <w:r w:rsidR="005E1925">
        <w:t xml:space="preserve">lors de notre activité contributive citoyenne. </w:t>
      </w:r>
      <w:r w:rsidR="00762CBA">
        <w:t>P</w:t>
      </w:r>
      <w:r w:rsidR="0013499D" w:rsidRPr="000843C4">
        <w:t xml:space="preserve">ar </w:t>
      </w:r>
      <w:r w:rsidR="002C683C" w:rsidRPr="000843C4">
        <w:t>souci de protection de la vie privée</w:t>
      </w:r>
      <w:r w:rsidR="00762CBA">
        <w:t>,</w:t>
      </w:r>
      <w:r w:rsidR="007B0B63" w:rsidRPr="000843C4">
        <w:t xml:space="preserve"> et </w:t>
      </w:r>
      <w:r w:rsidR="00762CBA">
        <w:t>pour respecter l</w:t>
      </w:r>
      <w:r w:rsidR="007B0B63" w:rsidRPr="000843C4">
        <w:t>’anonymat</w:t>
      </w:r>
      <w:r w:rsidR="00762CBA">
        <w:t xml:space="preserve"> des participantes et des participants</w:t>
      </w:r>
      <w:r w:rsidR="002C683C" w:rsidRPr="000843C4">
        <w:t xml:space="preserve">, tous les prénoms ont été modifiés. </w:t>
      </w:r>
      <w:r w:rsidR="00225F22">
        <w:br w:type="page"/>
      </w:r>
    </w:p>
    <w:p w:rsidR="003D07B2" w:rsidRDefault="003D07B2" w:rsidP="008F3101">
      <w:pPr>
        <w:pStyle w:val="Heading1"/>
      </w:pPr>
      <w:bookmarkStart w:id="17" w:name="_Toc23781678"/>
      <w:r>
        <w:lastRenderedPageBreak/>
        <w:t>Introduction</w:t>
      </w:r>
      <w:bookmarkEnd w:id="17"/>
    </w:p>
    <w:p w:rsidR="00D4709A" w:rsidRDefault="00D4709A" w:rsidP="008F5985">
      <w:r>
        <w:t xml:space="preserve">Fondé en 1985, DéPhy Montréal </w:t>
      </w:r>
      <w:r w:rsidRPr="00BE20E5">
        <w:t xml:space="preserve">rassemble 50 organismes communautaires engagés dans la promotion ou la défense des droits des personnes </w:t>
      </w:r>
      <w:r>
        <w:t>ay</w:t>
      </w:r>
      <w:r w:rsidRPr="00BE20E5">
        <w:t>ant une déficience physique, mot</w:t>
      </w:r>
      <w:r>
        <w:t>rice, sensorielle, du langage ou</w:t>
      </w:r>
      <w:r w:rsidRPr="00BE20E5">
        <w:t xml:space="preserve"> de la parole, sur l’île de Montréal.</w:t>
      </w:r>
      <w:r>
        <w:t xml:space="preserve"> </w:t>
      </w:r>
    </w:p>
    <w:p w:rsidR="009D4EF2" w:rsidRDefault="00D4709A" w:rsidP="008F5985">
      <w:r>
        <w:t xml:space="preserve">Depuis de nombreuses années, DéPhy Montréal est reconnu comme un interlocuteur privilégié par diverses institutions publiques et parapubliques, y compris par la Ville de Montréal. De fait, en tant que regroupement d’organismes, DéPhy Montréal bénéficie d’une expertise incomparable et diversifiée dans de nombreux domaines comme l’accessibilité universelle (A.U.), l’emploi, le logement, l’éducation, le transport, la santé et les services sociaux, etc. En conséquence, notre regroupement est régulièrement appelé à se prononcer sur diverses questions relatives aux personnes </w:t>
      </w:r>
      <w:r w:rsidR="00643130">
        <w:t>ay</w:t>
      </w:r>
      <w:r>
        <w:t xml:space="preserve">ant une déficience physique et à leur famille. Pour ce faire, nous travaillons en étroite collaboration avec nos membres, notamment par le biais d’instances de concertations internes, comme des comités et </w:t>
      </w:r>
      <w:r w:rsidR="00164166">
        <w:t xml:space="preserve">des </w:t>
      </w:r>
      <w:r>
        <w:t>groupes de travail</w:t>
      </w:r>
      <w:r w:rsidR="009D4EF2">
        <w:t xml:space="preserve">. </w:t>
      </w:r>
    </w:p>
    <w:p w:rsidR="009D4EF2" w:rsidRDefault="00CD6563" w:rsidP="008F5985">
      <w:r>
        <w:t xml:space="preserve">Le présent mémoire a ainsi été produit par le Comité Montréal accessible (CMA) de DéPhy Montréal, </w:t>
      </w:r>
      <w:r w:rsidR="00D42D7F">
        <w:t xml:space="preserve">suite à l’activité contributive citoyenne organisée par notre regroupement </w:t>
      </w:r>
      <w:r>
        <w:t>dans le cadre de la consultation de l’Office de consultation publique de Montréal (OCPM) sur le racisme et la discrimination systémiques</w:t>
      </w:r>
      <w:r w:rsidR="009D4EF2">
        <w:t xml:space="preserve">. </w:t>
      </w:r>
    </w:p>
    <w:p w:rsidR="00483C3B" w:rsidRDefault="00643130" w:rsidP="008F5985">
      <w:r>
        <w:t>Tout d’abord</w:t>
      </w:r>
      <w:r w:rsidR="00483C3B">
        <w:t>, nous rappellerons brièvement les fondements juridiques desquels est issue la notion de discrimination fondée sur</w:t>
      </w:r>
      <w:r w:rsidR="006C7E53">
        <w:t xml:space="preserve"> </w:t>
      </w:r>
      <w:r w:rsidR="006C7E53" w:rsidRPr="006C7E53">
        <w:t>le handicap ou l'utilisation d'un moyen pour pallier ce handicap</w:t>
      </w:r>
      <w:r w:rsidR="00483C3B">
        <w:t>, dont il est question dans le présent mémoire</w:t>
      </w:r>
      <w:r w:rsidR="00ED72EB">
        <w:t xml:space="preserve">. Nous présenterons également quelques façons </w:t>
      </w:r>
      <w:r w:rsidR="00322452">
        <w:t xml:space="preserve">d’identifier les situations de </w:t>
      </w:r>
      <w:r w:rsidR="00483C3B">
        <w:t>discrimination</w:t>
      </w:r>
      <w:r w:rsidR="00200B4F">
        <w:t xml:space="preserve">, notamment la discrimination systémique. </w:t>
      </w:r>
    </w:p>
    <w:p w:rsidR="00A01D59" w:rsidRDefault="00200B4F" w:rsidP="008F5985">
      <w:r>
        <w:t xml:space="preserve">Par la suite, </w:t>
      </w:r>
      <w:r w:rsidR="0025184E">
        <w:t xml:space="preserve">pour </w:t>
      </w:r>
      <w:r w:rsidR="006B29C6">
        <w:t xml:space="preserve">quelques thèmes inspirés des </w:t>
      </w:r>
      <w:hyperlink r:id="rId17" w:history="1">
        <w:r w:rsidR="006B29C6" w:rsidRPr="00643130">
          <w:rPr>
            <w:rStyle w:val="Hyperlink"/>
          </w:rPr>
          <w:t>suggestions de l’OCPM</w:t>
        </w:r>
      </w:hyperlink>
      <w:r w:rsidR="0025184E">
        <w:t xml:space="preserve">, </w:t>
      </w:r>
      <w:r w:rsidR="0083566D">
        <w:t xml:space="preserve">nous donnerons </w:t>
      </w:r>
      <w:r w:rsidR="005025F7">
        <w:t>un aperçu général d</w:t>
      </w:r>
      <w:r w:rsidR="00666B8C">
        <w:t xml:space="preserve">es </w:t>
      </w:r>
      <w:r w:rsidR="00723269">
        <w:t xml:space="preserve">principaux </w:t>
      </w:r>
      <w:r w:rsidR="005025F7">
        <w:t xml:space="preserve">enjeux et </w:t>
      </w:r>
      <w:r w:rsidR="00666B8C">
        <w:t xml:space="preserve">obstacles rencontrés </w:t>
      </w:r>
      <w:r w:rsidR="00D21C16">
        <w:t xml:space="preserve">quotidiennement </w:t>
      </w:r>
      <w:r w:rsidR="00666B8C">
        <w:t xml:space="preserve">par les citoyens montréalais ayant des limitations fonctionnelles, </w:t>
      </w:r>
      <w:r w:rsidR="0025184E">
        <w:t xml:space="preserve">ainsi que </w:t>
      </w:r>
      <w:r w:rsidR="00D21C16">
        <w:t>les conséquences de ces obstacles</w:t>
      </w:r>
      <w:r w:rsidR="0025184E">
        <w:t xml:space="preserve">. </w:t>
      </w:r>
      <w:r w:rsidR="0083566D">
        <w:t>N</w:t>
      </w:r>
      <w:r w:rsidR="0025184E">
        <w:t xml:space="preserve">ous présenterons </w:t>
      </w:r>
      <w:r w:rsidR="0083566D">
        <w:t xml:space="preserve">également </w:t>
      </w:r>
      <w:r w:rsidR="0025184E">
        <w:t xml:space="preserve">quelques </w:t>
      </w:r>
      <w:r w:rsidR="00D21C16">
        <w:t xml:space="preserve">témoignages et exemples, </w:t>
      </w:r>
      <w:r w:rsidR="00911C83">
        <w:t xml:space="preserve">qui </w:t>
      </w:r>
      <w:r w:rsidR="00AC485A">
        <w:t xml:space="preserve">décrivent </w:t>
      </w:r>
      <w:r w:rsidR="00911C83">
        <w:t xml:space="preserve">le caractère discriminatoire </w:t>
      </w:r>
      <w:r w:rsidR="00DC06C0">
        <w:t xml:space="preserve">de certaines situations, </w:t>
      </w:r>
      <w:r w:rsidR="00683846">
        <w:t xml:space="preserve">ainsi que les droits auxquels ces situations portent atteinte. </w:t>
      </w:r>
    </w:p>
    <w:p w:rsidR="00666B8C" w:rsidRDefault="00911C83" w:rsidP="008F5985">
      <w:r>
        <w:t xml:space="preserve">Finalement, </w:t>
      </w:r>
      <w:r w:rsidR="00683846">
        <w:t xml:space="preserve">avant d’adresser </w:t>
      </w:r>
      <w:r>
        <w:t>quelques recommandations</w:t>
      </w:r>
      <w:r w:rsidR="00A01D59">
        <w:t xml:space="preserve"> spécifiques</w:t>
      </w:r>
      <w:r>
        <w:t xml:space="preserve">, nous rappellerons </w:t>
      </w:r>
      <w:r w:rsidR="000B741B">
        <w:t xml:space="preserve">les outils et les moyens dont </w:t>
      </w:r>
      <w:r w:rsidR="00643130" w:rsidRPr="00643130">
        <w:t>la Ville de Montréal</w:t>
      </w:r>
      <w:r w:rsidR="000B741B" w:rsidRPr="00643130">
        <w:t xml:space="preserve"> </w:t>
      </w:r>
      <w:r w:rsidR="000B741B">
        <w:t xml:space="preserve">dispose déjà, </w:t>
      </w:r>
      <w:r w:rsidR="00995437">
        <w:t xml:space="preserve">et </w:t>
      </w:r>
      <w:r w:rsidR="000B741B">
        <w:t xml:space="preserve">sur lesquels elle peut </w:t>
      </w:r>
      <w:r w:rsidR="00995437">
        <w:t xml:space="preserve">d’ailleurs </w:t>
      </w:r>
      <w:r w:rsidR="000B741B">
        <w:t xml:space="preserve">s’appuyer pour agir dès maintenant, </w:t>
      </w:r>
      <w:r w:rsidR="00995437">
        <w:t xml:space="preserve">afin de </w:t>
      </w:r>
      <w:r w:rsidR="00A367C7">
        <w:t>favoriser l’inclusion et la participation sociale des citoyens montréalais</w:t>
      </w:r>
      <w:r w:rsidR="00681FC0">
        <w:t xml:space="preserve"> ayant des limitations fonctionnelles</w:t>
      </w:r>
      <w:r w:rsidR="00A367C7">
        <w:t xml:space="preserve">. </w:t>
      </w:r>
    </w:p>
    <w:p w:rsidR="00DB5C64" w:rsidRDefault="00BF46F8" w:rsidP="008F3101">
      <w:pPr>
        <w:pStyle w:val="Heading1"/>
      </w:pPr>
      <w:bookmarkStart w:id="18" w:name="_Toc23781679"/>
      <w:r>
        <w:lastRenderedPageBreak/>
        <w:t xml:space="preserve">Discrimination </w:t>
      </w:r>
      <w:r w:rsidR="00DB5C64">
        <w:t>et handicap</w:t>
      </w:r>
      <w:bookmarkEnd w:id="18"/>
    </w:p>
    <w:p w:rsidR="00160D7B" w:rsidRDefault="00DB5C64" w:rsidP="00BC0A5B">
      <w:pPr>
        <w:pStyle w:val="Heading2"/>
      </w:pPr>
      <w:bookmarkStart w:id="19" w:name="_Toc23781680"/>
      <w:r>
        <w:t>F</w:t>
      </w:r>
      <w:r w:rsidR="00160D7B">
        <w:t>ondements juridiques</w:t>
      </w:r>
      <w:bookmarkEnd w:id="19"/>
    </w:p>
    <w:p w:rsidR="003921D0" w:rsidRDefault="003921D0" w:rsidP="008F5985">
      <w:r>
        <w:t xml:space="preserve">La </w:t>
      </w:r>
      <w:hyperlink r:id="rId18" w:history="1">
        <w:r w:rsidRPr="00643130">
          <w:rPr>
            <w:rStyle w:val="Hyperlink"/>
          </w:rPr>
          <w:t>Charte des droits et libertés de la personne</w:t>
        </w:r>
      </w:hyperlink>
      <w:r>
        <w:t xml:space="preserve"> du Québec est une loi fondamentale qui a préséance sur les autres lois, et qui possède un statut « quasi constitutionnel ». </w:t>
      </w:r>
    </w:p>
    <w:p w:rsidR="003921D0" w:rsidRDefault="003921D0" w:rsidP="008F5985">
      <w:r>
        <w:t>L'article 10 de la Charte garantit à toute personne le droit à la reconnaissance et à l'exercice, en pleine égalité, des droits et libertés, sans distinction, exclusion ou préférence fondée sur un motif de discrimination (ex.</w:t>
      </w:r>
      <w:r w:rsidR="001364DB">
        <w:t> :</w:t>
      </w:r>
      <w:r>
        <w:t xml:space="preserve"> </w:t>
      </w:r>
      <w:r w:rsidRPr="00913AA2">
        <w:t xml:space="preserve">la race, la couleur de la peau, </w:t>
      </w:r>
      <w:r>
        <w:t xml:space="preserve">l’origine ethnique ou nationale, la langue, </w:t>
      </w:r>
      <w:r w:rsidR="006C7E53" w:rsidRPr="006C7E53">
        <w:t>le handicap ou l'utilisation d'un moyen pour pallier ce handicap</w:t>
      </w:r>
      <w:r>
        <w:t xml:space="preserve">, etc.). En outre, toute discrimination est interdite dans les domaines du travail, du logement, des services, </w:t>
      </w:r>
      <w:r w:rsidR="006C1AA7">
        <w:t xml:space="preserve">des </w:t>
      </w:r>
      <w:r>
        <w:t xml:space="preserve">transports et </w:t>
      </w:r>
      <w:r w:rsidR="006C1AA7">
        <w:t xml:space="preserve">des </w:t>
      </w:r>
      <w:r>
        <w:t>lieux publics, ainsi que dans les actes juridiques</w:t>
      </w:r>
      <w:r w:rsidR="00F93B1E">
        <w:rPr>
          <w:rStyle w:val="FootnoteReference"/>
        </w:rPr>
        <w:footnoteReference w:id="4"/>
      </w:r>
      <w:r>
        <w:t xml:space="preserve">. </w:t>
      </w:r>
    </w:p>
    <w:p w:rsidR="009D4EF2" w:rsidRDefault="003921D0" w:rsidP="008F5985">
      <w:r>
        <w:t>L'article 52 de la Charte prévoit une « règle de prépondérance » pour les droits et libertés des chapitres I à III</w:t>
      </w:r>
      <w:r>
        <w:rPr>
          <w:rStyle w:val="FootnoteReference"/>
        </w:rPr>
        <w:footnoteReference w:id="5"/>
      </w:r>
      <w:r>
        <w:t xml:space="preserve"> (art. 1 à 38), c’est-à-dire qu'aucune restriction législative, même postérieure à la Charte, ne peut déroger à ces articles, sauf si la loi énonce expressément que cette restriction s'applique malgré la Charte. En revanche, les droits du chapitre IV, soit les droits économiques et sociaux (art. 39 à 48), comme le droit à la protection pour les enfants, le droit à l'information, etc., ne bénéficient pas d’une telle règle de prépondérance. Néanmoins, le Tribunal des droits de la personne a décidé que les droits économiques et sociaux peuvent « devenir prépondérants » quand ils interagissent avec le droit à l'égalité (art. 10). En d’autres mots, si la Charte permet que l'exercice des droits économiques et sociaux soient affectés par diverses restrictions législatives, il ne peut s’agir de restrictions fondées sur un des motifs de discrimination prévu</w:t>
      </w:r>
      <w:r w:rsidR="00D90DC8">
        <w:t>s</w:t>
      </w:r>
      <w:r>
        <w:t xml:space="preserve"> à l'article 10, comme le handicap</w:t>
      </w:r>
      <w:r w:rsidR="009D4EF2">
        <w:t xml:space="preserve">. </w:t>
      </w:r>
    </w:p>
    <w:p w:rsidR="003921D0" w:rsidRDefault="003921D0" w:rsidP="008F5985">
      <w:r>
        <w:t>Notons que la notion de handicap inclut</w:t>
      </w:r>
      <w:r w:rsidR="001364DB">
        <w:t> :</w:t>
      </w:r>
      <w:r>
        <w:t xml:space="preserve"> </w:t>
      </w:r>
    </w:p>
    <w:p w:rsidR="003921D0" w:rsidRPr="00E313D2" w:rsidRDefault="003921D0" w:rsidP="00C9625D">
      <w:pPr>
        <w:numPr>
          <w:ilvl w:val="0"/>
          <w:numId w:val="12"/>
        </w:numPr>
      </w:pPr>
      <w:r w:rsidRPr="00E313D2">
        <w:t>La déficience physique</w:t>
      </w:r>
      <w:r w:rsidR="001B1F43" w:rsidRPr="00E313D2">
        <w:t xml:space="preserve"> </w:t>
      </w:r>
      <w:r w:rsidRPr="00E313D2">
        <w:t>et sensorielle (ex.</w:t>
      </w:r>
      <w:r w:rsidR="001364DB">
        <w:t> :</w:t>
      </w:r>
      <w:r w:rsidR="0065243A" w:rsidRPr="00E313D2">
        <w:t xml:space="preserve"> déficience</w:t>
      </w:r>
      <w:r w:rsidRPr="00E313D2">
        <w:t xml:space="preserve"> motrice, déficience visuelle ou auditive, etc.),</w:t>
      </w:r>
    </w:p>
    <w:p w:rsidR="003921D0" w:rsidRPr="00E313D2" w:rsidRDefault="0065243A" w:rsidP="00C9625D">
      <w:pPr>
        <w:numPr>
          <w:ilvl w:val="0"/>
          <w:numId w:val="12"/>
        </w:numPr>
      </w:pPr>
      <w:r w:rsidRPr="00E313D2">
        <w:t>La</w:t>
      </w:r>
      <w:r w:rsidR="003921D0" w:rsidRPr="00E313D2">
        <w:t xml:space="preserve"> déficience intellectuelle, le trouble du spectre de l’autisme, les troubles de santé mentale, etc.,</w:t>
      </w:r>
    </w:p>
    <w:p w:rsidR="009D4EF2" w:rsidRDefault="0065243A" w:rsidP="00C9625D">
      <w:pPr>
        <w:numPr>
          <w:ilvl w:val="0"/>
          <w:numId w:val="12"/>
        </w:numPr>
      </w:pPr>
      <w:r w:rsidRPr="00E313D2">
        <w:t>Les</w:t>
      </w:r>
      <w:r w:rsidR="003921D0" w:rsidRPr="00E313D2">
        <w:t xml:space="preserve"> obstacles de la vie courante, qui empêchent la personne d’exercer pleinement ses droits</w:t>
      </w:r>
      <w:r w:rsidR="009D4EF2">
        <w:t xml:space="preserve">. </w:t>
      </w:r>
    </w:p>
    <w:p w:rsidR="003921D0" w:rsidRDefault="003921D0" w:rsidP="008F5985">
      <w:r>
        <w:lastRenderedPageBreak/>
        <w:t>Finalement, on considère qu’il y a discrimination</w:t>
      </w:r>
      <w:r w:rsidR="001364DB">
        <w:t> :</w:t>
      </w:r>
      <w:r>
        <w:t xml:space="preserve"> </w:t>
      </w:r>
    </w:p>
    <w:p w:rsidR="009D4EF2" w:rsidRDefault="003921D0" w:rsidP="00C9625D">
      <w:pPr>
        <w:numPr>
          <w:ilvl w:val="0"/>
          <w:numId w:val="13"/>
        </w:numPr>
      </w:pPr>
      <w:r w:rsidRPr="009E2A52">
        <w:t>Si des faits, des gestes ou des paroles produisent, envers une personne, une distinction, une exclusion ou une préférence</w:t>
      </w:r>
      <w:r w:rsidR="009D4EF2">
        <w:t xml:space="preserve">. </w:t>
      </w:r>
    </w:p>
    <w:p w:rsidR="009D4EF2" w:rsidRDefault="003921D0" w:rsidP="00C9625D">
      <w:pPr>
        <w:numPr>
          <w:ilvl w:val="0"/>
          <w:numId w:val="13"/>
        </w:numPr>
      </w:pPr>
      <w:r w:rsidRPr="009E2A52">
        <w:t xml:space="preserve">Si cette distinction, cette exclusion ou cette préférence est fondée sur l'un des motifs inscrit à l’article 10 de la </w:t>
      </w:r>
      <w:r w:rsidR="0065243A" w:rsidRPr="009E2A52">
        <w:t>Charte</w:t>
      </w:r>
      <w:r w:rsidR="009D4EF2">
        <w:t xml:space="preserve">. </w:t>
      </w:r>
    </w:p>
    <w:p w:rsidR="009D4EF2" w:rsidRDefault="003921D0" w:rsidP="00C9625D">
      <w:pPr>
        <w:numPr>
          <w:ilvl w:val="0"/>
          <w:numId w:val="13"/>
        </w:numPr>
      </w:pPr>
      <w:r w:rsidRPr="009E2A52">
        <w:t>Si cette distinction, cette exclusion ou cette préférence prive une personne de la reconnaissance et de l'exercice de ses droits et libertés, en toute égalité</w:t>
      </w:r>
      <w:r w:rsidR="009D4EF2">
        <w:t xml:space="preserve">. </w:t>
      </w:r>
    </w:p>
    <w:p w:rsidR="00A02448" w:rsidRDefault="00A20B02" w:rsidP="008E0E2E">
      <w:pPr>
        <w:pStyle w:val="Heading2"/>
      </w:pPr>
      <w:bookmarkStart w:id="20" w:name="_Toc23781681"/>
      <w:r>
        <w:t xml:space="preserve">Reconnaître la </w:t>
      </w:r>
      <w:r w:rsidR="00DB5C64">
        <w:t>discrimination</w:t>
      </w:r>
      <w:bookmarkEnd w:id="20"/>
      <w:r w:rsidR="0063444B">
        <w:t xml:space="preserve"> </w:t>
      </w:r>
    </w:p>
    <w:p w:rsidR="00A02448" w:rsidRDefault="00540324" w:rsidP="008F5985">
      <w:r w:rsidRPr="00421764">
        <w:t xml:space="preserve">Comme nous le verrons tout au long de ce mémoire, </w:t>
      </w:r>
      <w:r w:rsidR="00A367C7">
        <w:t xml:space="preserve">à Montréal, </w:t>
      </w:r>
      <w:r w:rsidR="00B44231" w:rsidRPr="00B44231">
        <w:t>même si les réflexes tendent à changer progressivement, et en dépit d</w:t>
      </w:r>
      <w:r w:rsidR="00B44231">
        <w:t xml:space="preserve">es efforts de la Ville, </w:t>
      </w:r>
      <w:r w:rsidRPr="00421764">
        <w:t xml:space="preserve">les personnes </w:t>
      </w:r>
      <w:r w:rsidR="00681FC0">
        <w:t xml:space="preserve">ayant des limitations fonctionnelles </w:t>
      </w:r>
      <w:r w:rsidRPr="00421764">
        <w:t xml:space="preserve">sont </w:t>
      </w:r>
      <w:r w:rsidR="000B73DA">
        <w:t xml:space="preserve">davantage </w:t>
      </w:r>
      <w:r w:rsidR="00671F65" w:rsidRPr="00421764">
        <w:t>victimes de discrimination indirecte et de discrimination systémique</w:t>
      </w:r>
      <w:r w:rsidR="002F29DF" w:rsidRPr="00421764">
        <w:t xml:space="preserve">. </w:t>
      </w:r>
      <w:r w:rsidR="002F29DF">
        <w:t xml:space="preserve">Toutefois, </w:t>
      </w:r>
      <w:r w:rsidR="007336EB">
        <w:t xml:space="preserve">même si nous n’en ferons pas état ici de par leur caractère plus individuel que systémique, </w:t>
      </w:r>
      <w:r w:rsidR="00793565">
        <w:t xml:space="preserve">il serait illusoire de penser que </w:t>
      </w:r>
      <w:r w:rsidR="002F29DF">
        <w:t xml:space="preserve">les actes </w:t>
      </w:r>
      <w:r w:rsidR="00793565">
        <w:t xml:space="preserve">de discrimination </w:t>
      </w:r>
      <w:r w:rsidR="002F29DF">
        <w:t>direct</w:t>
      </w:r>
      <w:r w:rsidR="00793565">
        <w:t>e</w:t>
      </w:r>
      <w:r w:rsidR="00736639">
        <w:t>, c’est-à-dire intentionnels</w:t>
      </w:r>
      <w:r w:rsidR="006C1AA7">
        <w:t xml:space="preserve"> et avoués</w:t>
      </w:r>
      <w:r w:rsidR="00736639">
        <w:t>,</w:t>
      </w:r>
      <w:r w:rsidR="001B1F43">
        <w:t xml:space="preserve"> </w:t>
      </w:r>
      <w:r w:rsidR="00793565">
        <w:t>à l’égard des personnes ayant des limitations fonctionnelles</w:t>
      </w:r>
      <w:r w:rsidR="00736639">
        <w:t>,</w:t>
      </w:r>
      <w:r w:rsidR="00793565">
        <w:t xml:space="preserve"> ont </w:t>
      </w:r>
      <w:r w:rsidR="0063444B">
        <w:t xml:space="preserve">aujourd’hui </w:t>
      </w:r>
      <w:r w:rsidR="00793565">
        <w:t xml:space="preserve">totalement disparu de notre société. </w:t>
      </w:r>
    </w:p>
    <w:p w:rsidR="008E27AE" w:rsidRDefault="00831F5D" w:rsidP="008F5985">
      <w:pPr>
        <w:rPr>
          <w:bCs/>
        </w:rPr>
      </w:pPr>
      <w:r>
        <w:t>Actuellement, l</w:t>
      </w:r>
      <w:r w:rsidR="00276235">
        <w:t>a plupart d</w:t>
      </w:r>
      <w:r w:rsidR="00883A70">
        <w:t xml:space="preserve">es situations de discrimination </w:t>
      </w:r>
      <w:r w:rsidR="00273361">
        <w:t>identifiées</w:t>
      </w:r>
      <w:r w:rsidR="00B44231">
        <w:t xml:space="preserve"> </w:t>
      </w:r>
      <w:r w:rsidR="00883A70">
        <w:t xml:space="preserve">relèvent </w:t>
      </w:r>
      <w:r w:rsidR="00810DF8">
        <w:t xml:space="preserve">autant d’une méconnaissance des besoins et des capacités des personnes ayant des limitations fonctionnelles, que </w:t>
      </w:r>
      <w:r w:rsidR="00883A70">
        <w:t xml:space="preserve">d’une absence de </w:t>
      </w:r>
      <w:r w:rsidR="000D4318">
        <w:t xml:space="preserve">prise en compte </w:t>
      </w:r>
      <w:r w:rsidR="00883A70">
        <w:t xml:space="preserve">des besoins </w:t>
      </w:r>
      <w:r w:rsidR="001C12C5">
        <w:t xml:space="preserve">et des capacités </w:t>
      </w:r>
      <w:r w:rsidR="00883A70">
        <w:t>de</w:t>
      </w:r>
      <w:r>
        <w:t xml:space="preserve"> ce</w:t>
      </w:r>
      <w:r w:rsidR="00883A70">
        <w:t xml:space="preserve">s personnes lors de la conception </w:t>
      </w:r>
      <w:r w:rsidR="001C12C5">
        <w:t xml:space="preserve">et </w:t>
      </w:r>
      <w:r w:rsidR="00883A70">
        <w:t xml:space="preserve">de la planification de </w:t>
      </w:r>
      <w:r w:rsidR="00036FB2">
        <w:t>programmes</w:t>
      </w:r>
      <w:r w:rsidR="008E0E2E">
        <w:t>, de services</w:t>
      </w:r>
      <w:r w:rsidR="00036FB2">
        <w:t xml:space="preserve"> et de </w:t>
      </w:r>
      <w:r w:rsidR="00883A70">
        <w:t>politiques publiques</w:t>
      </w:r>
      <w:r w:rsidR="002F29DF">
        <w:t xml:space="preserve">, </w:t>
      </w:r>
      <w:r w:rsidR="00036FB2">
        <w:t xml:space="preserve">lors de l’application de processus et de réglementations, ou encore, lors </w:t>
      </w:r>
      <w:r w:rsidR="002F29DF">
        <w:t xml:space="preserve">de </w:t>
      </w:r>
      <w:r w:rsidR="001C12C5">
        <w:t>l’</w:t>
      </w:r>
      <w:r w:rsidR="0063444B">
        <w:t>acquisition</w:t>
      </w:r>
      <w:r w:rsidR="001C12C5">
        <w:t xml:space="preserve"> de </w:t>
      </w:r>
      <w:r w:rsidR="002F29DF">
        <w:t>biens et de services</w:t>
      </w:r>
      <w:r w:rsidR="00D93001">
        <w:t>.</w:t>
      </w:r>
      <w:r w:rsidR="009E2A52">
        <w:t xml:space="preserve"> </w:t>
      </w:r>
      <w:r w:rsidR="002911F8">
        <w:t>Cet</w:t>
      </w:r>
      <w:r w:rsidR="00440E3A">
        <w:t>te</w:t>
      </w:r>
      <w:r w:rsidR="002911F8">
        <w:t xml:space="preserve"> méconnaissance et cette absence de prise en compte des besoins et des capacités des personnes ayant des limitations fonctionnelles ont</w:t>
      </w:r>
      <w:r w:rsidR="00B44231" w:rsidRPr="00B44231">
        <w:t xml:space="preserve"> </w:t>
      </w:r>
      <w:r w:rsidR="00E11BD5">
        <w:t xml:space="preserve">néanmoins </w:t>
      </w:r>
      <w:r w:rsidR="00B44231" w:rsidRPr="00B44231">
        <w:t xml:space="preserve">pour effet de </w:t>
      </w:r>
      <w:r w:rsidR="002911F8">
        <w:t xml:space="preserve">les </w:t>
      </w:r>
      <w:r w:rsidR="00B44231" w:rsidRPr="00B44231">
        <w:t xml:space="preserve">priver de la reconnaissance et de l’exercice de leurs droits et libertés. </w:t>
      </w:r>
      <w:r w:rsidR="009E2A52">
        <w:t>Du reste</w:t>
      </w:r>
      <w:r w:rsidR="008E27AE">
        <w:t>, en 2019, le</w:t>
      </w:r>
      <w:r w:rsidR="008E27AE" w:rsidRPr="00023196">
        <w:rPr>
          <w:bCs/>
        </w:rPr>
        <w:t xml:space="preserve"> handicap </w:t>
      </w:r>
      <w:r w:rsidR="008E27AE">
        <w:rPr>
          <w:bCs/>
        </w:rPr>
        <w:t>demeure</w:t>
      </w:r>
      <w:r w:rsidR="008E27AE" w:rsidRPr="00023196">
        <w:rPr>
          <w:bCs/>
        </w:rPr>
        <w:t xml:space="preserve"> le motif de discrimination le plus fréquemment invoqué dans les dossiers ouverts </w:t>
      </w:r>
      <w:r w:rsidR="008E27AE">
        <w:rPr>
          <w:bCs/>
        </w:rPr>
        <w:t xml:space="preserve">à la </w:t>
      </w:r>
      <w:r w:rsidR="006E0E41">
        <w:rPr>
          <w:bCs/>
        </w:rPr>
        <w:t>Commission des droits de la personne et de la jeunesse (</w:t>
      </w:r>
      <w:r w:rsidR="008E27AE">
        <w:rPr>
          <w:bCs/>
        </w:rPr>
        <w:t>CDPD</w:t>
      </w:r>
      <w:r w:rsidR="006E0E41">
        <w:rPr>
          <w:bCs/>
        </w:rPr>
        <w:t>J)</w:t>
      </w:r>
      <w:r w:rsidR="008E27AE">
        <w:rPr>
          <w:rStyle w:val="FootnoteReference"/>
          <w:bCs/>
        </w:rPr>
        <w:footnoteReference w:id="6"/>
      </w:r>
      <w:r w:rsidR="008E27AE">
        <w:rPr>
          <w:bCs/>
        </w:rPr>
        <w:t xml:space="preserve">. </w:t>
      </w:r>
    </w:p>
    <w:p w:rsidR="00540324" w:rsidRDefault="009B126A" w:rsidP="008F5985">
      <w:r>
        <w:t>Ainsi, p</w:t>
      </w:r>
      <w:r w:rsidR="00797D6C">
        <w:t xml:space="preserve">armi les droits </w:t>
      </w:r>
      <w:r w:rsidR="0081264B">
        <w:t xml:space="preserve">dont l’exercice est le </w:t>
      </w:r>
      <w:r w:rsidR="00797D6C">
        <w:t>plus souvent</w:t>
      </w:r>
      <w:r w:rsidR="00E06773">
        <w:t xml:space="preserve"> compromis</w:t>
      </w:r>
      <w:r w:rsidR="0063444B">
        <w:t xml:space="preserve"> pour les personnes ayant des limitations fonctionnelles</w:t>
      </w:r>
      <w:r w:rsidR="00797D6C">
        <w:t>, nommons</w:t>
      </w:r>
      <w:r w:rsidR="001364DB">
        <w:t> :</w:t>
      </w:r>
      <w:r w:rsidR="00797D6C">
        <w:t xml:space="preserve"> </w:t>
      </w:r>
    </w:p>
    <w:p w:rsidR="00F3539C" w:rsidRPr="00831F5D" w:rsidRDefault="00A02448" w:rsidP="00C9625D">
      <w:pPr>
        <w:numPr>
          <w:ilvl w:val="0"/>
          <w:numId w:val="14"/>
        </w:numPr>
      </w:pPr>
      <w:r w:rsidRPr="00831F5D">
        <w:t xml:space="preserve">Droit </w:t>
      </w:r>
      <w:r w:rsidR="00E14057" w:rsidRPr="00831F5D">
        <w:t xml:space="preserve">à </w:t>
      </w:r>
      <w:r w:rsidRPr="00831F5D">
        <w:t>l’intégrité et à la liberté</w:t>
      </w:r>
      <w:r w:rsidR="008235C6" w:rsidRPr="00831F5D">
        <w:t xml:space="preserve"> (cf.</w:t>
      </w:r>
      <w:r w:rsidR="001364DB">
        <w:t> :</w:t>
      </w:r>
      <w:r w:rsidR="008235C6" w:rsidRPr="00831F5D">
        <w:t xml:space="preserve"> annexe 1, art.</w:t>
      </w:r>
      <w:r w:rsidR="002C11EA" w:rsidRPr="00831F5D">
        <w:t xml:space="preserve"> </w:t>
      </w:r>
      <w:r w:rsidR="008235C6" w:rsidRPr="00831F5D">
        <w:t>1)</w:t>
      </w:r>
      <w:r w:rsidR="001364DB">
        <w:t> :</w:t>
      </w:r>
      <w:r w:rsidR="00F3539C" w:rsidRPr="00831F5D">
        <w:t xml:space="preserve"> </w:t>
      </w:r>
    </w:p>
    <w:p w:rsidR="009D4EF2" w:rsidRDefault="00B71E34" w:rsidP="00C9625D">
      <w:pPr>
        <w:numPr>
          <w:ilvl w:val="1"/>
          <w:numId w:val="14"/>
        </w:numPr>
      </w:pPr>
      <w:r w:rsidRPr="00831F5D">
        <w:lastRenderedPageBreak/>
        <w:t>Le d</w:t>
      </w:r>
      <w:r w:rsidR="00A02448" w:rsidRPr="00831F5D">
        <w:t>roit à l’intégrité</w:t>
      </w:r>
      <w:r w:rsidRPr="00831F5D">
        <w:t xml:space="preserve"> désigne le </w:t>
      </w:r>
      <w:r w:rsidR="00A02448" w:rsidRPr="00B44231">
        <w:t xml:space="preserve">droit </w:t>
      </w:r>
      <w:r w:rsidR="00B44231" w:rsidRPr="00B44231">
        <w:t>d’</w:t>
      </w:r>
      <w:r w:rsidR="00A02448" w:rsidRPr="00B44231">
        <w:t>être protégé contre</w:t>
      </w:r>
      <w:r w:rsidR="00A02448" w:rsidRPr="00831F5D">
        <w:t xml:space="preserve"> les actions et les situations qui peuvent avoir des conséquences physiques, psycholo</w:t>
      </w:r>
      <w:r w:rsidR="006C1AA7">
        <w:t>giques ou émotives importantes po</w:t>
      </w:r>
      <w:r w:rsidR="00A02448" w:rsidRPr="00831F5D">
        <w:t>ur la personne</w:t>
      </w:r>
      <w:r w:rsidR="009D4EF2">
        <w:t xml:space="preserve">. </w:t>
      </w:r>
    </w:p>
    <w:p w:rsidR="00A02448" w:rsidRPr="00831F5D" w:rsidRDefault="00B71E34" w:rsidP="00C9625D">
      <w:pPr>
        <w:numPr>
          <w:ilvl w:val="1"/>
          <w:numId w:val="14"/>
        </w:numPr>
      </w:pPr>
      <w:r w:rsidRPr="00831F5D">
        <w:t>Le d</w:t>
      </w:r>
      <w:r w:rsidR="00A02448" w:rsidRPr="00831F5D">
        <w:t>roit à la liberté</w:t>
      </w:r>
      <w:r w:rsidRPr="00831F5D">
        <w:t xml:space="preserve"> signifie que c</w:t>
      </w:r>
      <w:r w:rsidR="00A02448" w:rsidRPr="00831F5D">
        <w:t>haque personne a le droit d’agir et de prendre les décisions fondamentales qui la concernent</w:t>
      </w:r>
      <w:r w:rsidR="004E7C23" w:rsidRPr="00831F5D">
        <w:t>,</w:t>
      </w:r>
      <w:r w:rsidR="00A02448" w:rsidRPr="00831F5D">
        <w:t xml:space="preserve"> sans subir de pression extérieure. </w:t>
      </w:r>
    </w:p>
    <w:p w:rsidR="009D4EF2" w:rsidRDefault="00A02448" w:rsidP="00C9625D">
      <w:pPr>
        <w:numPr>
          <w:ilvl w:val="0"/>
          <w:numId w:val="14"/>
        </w:numPr>
      </w:pPr>
      <w:r w:rsidRPr="00831F5D">
        <w:t>Droit à la dignité</w:t>
      </w:r>
      <w:r w:rsidR="008235C6" w:rsidRPr="00831F5D">
        <w:t xml:space="preserve"> (cf.</w:t>
      </w:r>
      <w:r w:rsidR="001364DB">
        <w:t> :</w:t>
      </w:r>
      <w:r w:rsidR="008235C6" w:rsidRPr="00831F5D">
        <w:t xml:space="preserve"> annexe 1, art.</w:t>
      </w:r>
      <w:r w:rsidR="002C11EA" w:rsidRPr="00831F5D">
        <w:t xml:space="preserve"> </w:t>
      </w:r>
      <w:r w:rsidR="008235C6" w:rsidRPr="00831F5D">
        <w:t>4)</w:t>
      </w:r>
      <w:r w:rsidR="009D4EF2">
        <w:t xml:space="preserve">. </w:t>
      </w:r>
    </w:p>
    <w:p w:rsidR="00A02448" w:rsidRPr="00831F5D" w:rsidRDefault="00F3539C" w:rsidP="00C9625D">
      <w:pPr>
        <w:numPr>
          <w:ilvl w:val="0"/>
          <w:numId w:val="14"/>
        </w:numPr>
      </w:pPr>
      <w:r w:rsidRPr="00831F5D">
        <w:t>Droit à l’égalité</w:t>
      </w:r>
      <w:r w:rsidR="002C11EA" w:rsidRPr="00831F5D">
        <w:t xml:space="preserve"> (cf.</w:t>
      </w:r>
      <w:r w:rsidR="001364DB">
        <w:t> :</w:t>
      </w:r>
      <w:r w:rsidR="002C11EA" w:rsidRPr="00831F5D">
        <w:t xml:space="preserve"> annexe 1, art. 10 et art. 10.1)</w:t>
      </w:r>
      <w:r w:rsidR="00A02448" w:rsidRPr="00831F5D">
        <w:t xml:space="preserve">. </w:t>
      </w:r>
    </w:p>
    <w:p w:rsidR="00A02448" w:rsidRPr="00831F5D" w:rsidRDefault="00D150D0" w:rsidP="00C9625D">
      <w:pPr>
        <w:numPr>
          <w:ilvl w:val="0"/>
          <w:numId w:val="14"/>
        </w:numPr>
      </w:pPr>
      <w:r>
        <w:t>Droit d</w:t>
      </w:r>
      <w:r w:rsidR="006C1AA7">
        <w:t>’</w:t>
      </w:r>
      <w:r w:rsidR="00A02448" w:rsidRPr="00831F5D">
        <w:t>accès aux moyens de transport et aux lieux publics</w:t>
      </w:r>
      <w:r w:rsidR="00DE6115" w:rsidRPr="00831F5D">
        <w:t xml:space="preserve"> ainsi qu’</w:t>
      </w:r>
      <w:r w:rsidR="00A02448" w:rsidRPr="00831F5D">
        <w:t>aux biens et services offerts dans un lieu public</w:t>
      </w:r>
      <w:r w:rsidR="002C11EA" w:rsidRPr="00831F5D">
        <w:t xml:space="preserve"> (cf.</w:t>
      </w:r>
      <w:r w:rsidR="001364DB">
        <w:t> :</w:t>
      </w:r>
      <w:r w:rsidR="002C11EA" w:rsidRPr="00831F5D">
        <w:t xml:space="preserve"> annexe 1, art. 15).</w:t>
      </w:r>
      <w:r w:rsidR="00A02448" w:rsidRPr="00831F5D">
        <w:t xml:space="preserve"> </w:t>
      </w:r>
    </w:p>
    <w:p w:rsidR="00DE6115" w:rsidRPr="00831F5D" w:rsidRDefault="00DE6115" w:rsidP="00C9625D">
      <w:pPr>
        <w:numPr>
          <w:ilvl w:val="0"/>
          <w:numId w:val="14"/>
        </w:numPr>
      </w:pPr>
      <w:r w:rsidRPr="00831F5D">
        <w:t>Droit à un traitement équitable dans le domaine du travail</w:t>
      </w:r>
      <w:r w:rsidR="002C11EA" w:rsidRPr="00831F5D">
        <w:t xml:space="preserve"> (cf.</w:t>
      </w:r>
      <w:r w:rsidR="001364DB">
        <w:t> :</w:t>
      </w:r>
      <w:r w:rsidR="002C11EA" w:rsidRPr="00831F5D">
        <w:t xml:space="preserve"> annexe 1, art. 16).</w:t>
      </w:r>
      <w:r w:rsidRPr="00831F5D">
        <w:t xml:space="preserve"> </w:t>
      </w:r>
    </w:p>
    <w:p w:rsidR="00DE6115" w:rsidRPr="00831F5D" w:rsidRDefault="00DE6115" w:rsidP="00C9625D">
      <w:pPr>
        <w:numPr>
          <w:ilvl w:val="0"/>
          <w:numId w:val="14"/>
        </w:numPr>
      </w:pPr>
      <w:r w:rsidRPr="00831F5D">
        <w:t>Droit de voter</w:t>
      </w:r>
      <w:r w:rsidR="002C11EA" w:rsidRPr="00831F5D">
        <w:t xml:space="preserve"> (cf.</w:t>
      </w:r>
      <w:r w:rsidR="001364DB">
        <w:t> :</w:t>
      </w:r>
      <w:r w:rsidR="002C11EA" w:rsidRPr="00831F5D">
        <w:t xml:space="preserve"> annexe 1, art. 22).</w:t>
      </w:r>
      <w:r w:rsidRPr="00831F5D">
        <w:t xml:space="preserve"> </w:t>
      </w:r>
    </w:p>
    <w:p w:rsidR="00DE6115" w:rsidRPr="00831F5D" w:rsidRDefault="00DE6115" w:rsidP="00C9625D">
      <w:pPr>
        <w:numPr>
          <w:ilvl w:val="0"/>
          <w:numId w:val="14"/>
        </w:numPr>
      </w:pPr>
      <w:r w:rsidRPr="00831F5D">
        <w:t>Droit à l'information</w:t>
      </w:r>
      <w:r w:rsidR="002C11EA" w:rsidRPr="00831F5D">
        <w:t xml:space="preserve"> (cf.</w:t>
      </w:r>
      <w:r w:rsidR="001364DB">
        <w:t> :</w:t>
      </w:r>
      <w:r w:rsidR="002C11EA" w:rsidRPr="00831F5D">
        <w:t xml:space="preserve"> annexe 1, art. 44)</w:t>
      </w:r>
      <w:r w:rsidR="00BF328A" w:rsidRPr="00831F5D">
        <w:t xml:space="preserve">, </w:t>
      </w:r>
      <w:r w:rsidR="007B7B72" w:rsidRPr="00831F5D">
        <w:t xml:space="preserve">soit </w:t>
      </w:r>
      <w:r w:rsidR="00BF328A" w:rsidRPr="00831F5D">
        <w:t xml:space="preserve">le </w:t>
      </w:r>
      <w:r w:rsidRPr="00831F5D">
        <w:t>d</w:t>
      </w:r>
      <w:r w:rsidR="00F21C5C">
        <w:t>roit de connaître et d’</w:t>
      </w:r>
      <w:r w:rsidR="00B71E34" w:rsidRPr="00831F5D">
        <w:t>accéder</w:t>
      </w:r>
      <w:r w:rsidR="001364DB">
        <w:t> :</w:t>
      </w:r>
      <w:r w:rsidR="00B71E34" w:rsidRPr="00831F5D">
        <w:t xml:space="preserve"> 1) </w:t>
      </w:r>
      <w:r w:rsidRPr="00831F5D">
        <w:t>aux documents des organis</w:t>
      </w:r>
      <w:r w:rsidR="00B71E34" w:rsidRPr="00831F5D">
        <w:t xml:space="preserve">mes publics et </w:t>
      </w:r>
      <w:r w:rsidR="0065243A" w:rsidRPr="00831F5D">
        <w:t>gouvernementaux ;</w:t>
      </w:r>
      <w:r w:rsidR="00B71E34" w:rsidRPr="00831F5D">
        <w:t xml:space="preserve"> 2) </w:t>
      </w:r>
      <w:r w:rsidRPr="00831F5D">
        <w:t>aux informations personnelles qu’un organisme public ou une entreprise privé</w:t>
      </w:r>
      <w:r w:rsidR="00B71E34" w:rsidRPr="00831F5D">
        <w:t xml:space="preserve">e détient sur la </w:t>
      </w:r>
      <w:r w:rsidR="0065243A" w:rsidRPr="00831F5D">
        <w:t>personne ;</w:t>
      </w:r>
      <w:r w:rsidR="00B71E34" w:rsidRPr="00831F5D">
        <w:t xml:space="preserve"> et 3) </w:t>
      </w:r>
      <w:r w:rsidRPr="00831F5D">
        <w:t xml:space="preserve">aux informations publiques. </w:t>
      </w:r>
    </w:p>
    <w:p w:rsidR="00DE6115" w:rsidRPr="00831F5D" w:rsidRDefault="00DE6115" w:rsidP="00C9625D">
      <w:pPr>
        <w:numPr>
          <w:ilvl w:val="0"/>
          <w:numId w:val="14"/>
        </w:numPr>
      </w:pPr>
      <w:r w:rsidRPr="00831F5D">
        <w:t>Droit des enfants à la protection, à la sécurité et à l’attention de leurs parents</w:t>
      </w:r>
      <w:r w:rsidR="00BF328A" w:rsidRPr="00831F5D">
        <w:t xml:space="preserve"> (cf.</w:t>
      </w:r>
      <w:r w:rsidR="001364DB">
        <w:t> :</w:t>
      </w:r>
      <w:r w:rsidR="00BF328A" w:rsidRPr="00831F5D">
        <w:t xml:space="preserve"> annexe 1, art. 39).</w:t>
      </w:r>
      <w:r w:rsidRPr="00831F5D">
        <w:t xml:space="preserve"> </w:t>
      </w:r>
    </w:p>
    <w:p w:rsidR="009078A6" w:rsidRPr="006C1AA7" w:rsidRDefault="001B7EE7" w:rsidP="008F5985">
      <w:pPr>
        <w:rPr>
          <w:b/>
          <w:bCs/>
          <w:i/>
          <w:iCs/>
          <w:lang w:val="fr-CA"/>
        </w:rPr>
      </w:pPr>
      <w:r>
        <w:t>D’autre part</w:t>
      </w:r>
      <w:r w:rsidR="009078A6">
        <w:t xml:space="preserve">, </w:t>
      </w:r>
      <w:r w:rsidR="00E11BD5">
        <w:t xml:space="preserve">selon </w:t>
      </w:r>
      <w:r w:rsidR="00500381">
        <w:t xml:space="preserve">plusieurs </w:t>
      </w:r>
      <w:r w:rsidR="00CF179D">
        <w:t xml:space="preserve">décisions juridiques, </w:t>
      </w:r>
      <w:r w:rsidR="009078A6" w:rsidRPr="003E79B3">
        <w:t>« La preuve de discrimination systémique repose […] essentiellement sur un ensemble de faits tels que des politiques institutionnelles, des processus décisionnels, des comportements et des attitudes qui, souvent inconscients et anodins en apparence, produisent et maintiennent, lorsque conjugués les uns aux autres, des effets disproportionnés d’exclusion pour les membres de groupes visés par l’interdiction de la discrimination</w:t>
      </w:r>
      <w:r w:rsidR="00261F23">
        <w:t>.</w:t>
      </w:r>
      <w:r w:rsidR="0086642D">
        <w:t> »</w:t>
      </w:r>
      <w:r w:rsidR="0086642D">
        <w:rPr>
          <w:rStyle w:val="FootnoteReference"/>
        </w:rPr>
        <w:footnoteReference w:id="7"/>
      </w:r>
      <w:r w:rsidR="0086642D">
        <w:t xml:space="preserve"> </w:t>
      </w:r>
      <w:r w:rsidR="00710B67">
        <w:t xml:space="preserve">La Cour Suprême du Canada a par ailleurs établi en 1987, lors du </w:t>
      </w:r>
      <w:hyperlink r:id="rId19" w:history="1">
        <w:r w:rsidR="00710B67" w:rsidRPr="00710B67">
          <w:rPr>
            <w:rStyle w:val="Hyperlink"/>
          </w:rPr>
          <w:t>jugement du CN c. Canada</w:t>
        </w:r>
      </w:hyperlink>
      <w:r w:rsidR="00710B67">
        <w:t xml:space="preserve">, que </w:t>
      </w:r>
      <w:r w:rsidR="009078A6" w:rsidRPr="003E79B3">
        <w:t xml:space="preserve">le </w:t>
      </w:r>
      <w:r w:rsidR="009078A6" w:rsidRPr="0027669A">
        <w:t xml:space="preserve">caractère volontaire ou non </w:t>
      </w:r>
      <w:r w:rsidR="0027669A" w:rsidRPr="0027669A">
        <w:t>des mesures discriminatoires n’importait pas tant</w:t>
      </w:r>
      <w:r w:rsidR="009078A6" w:rsidRPr="0027669A">
        <w:t xml:space="preserve"> que leurs conséquences</w:t>
      </w:r>
      <w:r w:rsidR="00B1637C">
        <w:t>,</w:t>
      </w:r>
      <w:r w:rsidR="009078A6" w:rsidRPr="0027669A">
        <w:t xml:space="preserve"> pour</w:t>
      </w:r>
      <w:r w:rsidR="009078A6" w:rsidRPr="003E79B3">
        <w:t xml:space="preserve"> déterminer s’il</w:t>
      </w:r>
      <w:r w:rsidR="00710B67">
        <w:t xml:space="preserve"> y a</w:t>
      </w:r>
      <w:r w:rsidR="0027669A">
        <w:t>,</w:t>
      </w:r>
      <w:r w:rsidR="00710B67">
        <w:t xml:space="preserve"> </w:t>
      </w:r>
      <w:r w:rsidR="0027669A">
        <w:t xml:space="preserve">ou non, </w:t>
      </w:r>
      <w:r w:rsidR="00710B67">
        <w:t>discrimination systémique.</w:t>
      </w:r>
    </w:p>
    <w:p w:rsidR="00770F3C" w:rsidRDefault="009078A6" w:rsidP="008F5985">
      <w:r w:rsidRPr="003E79B3">
        <w:t xml:space="preserve">Ainsi, pour définir si </w:t>
      </w:r>
      <w:r w:rsidR="00FB5206">
        <w:t xml:space="preserve">une </w:t>
      </w:r>
      <w:r w:rsidRPr="003E79B3">
        <w:t>situation rel</w:t>
      </w:r>
      <w:r>
        <w:t>è</w:t>
      </w:r>
      <w:r w:rsidRPr="003E79B3">
        <w:t>ve d</w:t>
      </w:r>
      <w:r w:rsidR="00FB5206">
        <w:t>’un</w:t>
      </w:r>
      <w:r w:rsidRPr="003E79B3">
        <w:t xml:space="preserve"> cas de discrimination, indirecte ou systémique, ou </w:t>
      </w:r>
      <w:r w:rsidR="00FB5206">
        <w:t xml:space="preserve">s’il s’agit d’une </w:t>
      </w:r>
      <w:r w:rsidR="007A6C22">
        <w:t>« </w:t>
      </w:r>
      <w:r w:rsidR="00FB5206">
        <w:t xml:space="preserve">simple </w:t>
      </w:r>
      <w:r w:rsidRPr="003E79B3">
        <w:t>frustration de la vie quotidienne</w:t>
      </w:r>
      <w:r w:rsidR="007A6C22">
        <w:t> »</w:t>
      </w:r>
      <w:r w:rsidRPr="003E79B3">
        <w:t xml:space="preserve">, </w:t>
      </w:r>
      <w:r>
        <w:t xml:space="preserve">il est pertinent de s’interroger </w:t>
      </w:r>
      <w:r w:rsidRPr="003E79B3">
        <w:t xml:space="preserve">sur </w:t>
      </w:r>
      <w:r w:rsidR="00FB5206">
        <w:t xml:space="preserve">ses </w:t>
      </w:r>
      <w:r w:rsidRPr="003E79B3">
        <w:t>conséquence</w:t>
      </w:r>
      <w:r w:rsidR="00FB5206">
        <w:t>s</w:t>
      </w:r>
      <w:r w:rsidRPr="003E79B3">
        <w:t xml:space="preserve"> </w:t>
      </w:r>
      <w:r w:rsidR="00CF179D">
        <w:t>pour</w:t>
      </w:r>
      <w:r w:rsidRPr="003E79B3">
        <w:t xml:space="preserve"> les personnes ayant des limitations fonctionnelles, ainsi que sur les droits dont </w:t>
      </w:r>
      <w:r w:rsidR="00FB5206">
        <w:t xml:space="preserve">cette </w:t>
      </w:r>
      <w:r>
        <w:t xml:space="preserve">situation </w:t>
      </w:r>
      <w:r w:rsidR="00FB5206">
        <w:t xml:space="preserve">peut </w:t>
      </w:r>
      <w:r w:rsidRPr="003E79B3">
        <w:t xml:space="preserve">compromettre l’exercice. </w:t>
      </w:r>
    </w:p>
    <w:p w:rsidR="009078A6" w:rsidRPr="003E79B3" w:rsidRDefault="00576D09" w:rsidP="008F5985">
      <w:r>
        <w:lastRenderedPageBreak/>
        <w:t xml:space="preserve">Finalement, </w:t>
      </w:r>
      <w:r w:rsidR="00770F3C">
        <w:t xml:space="preserve">répondre aux questions suivantes peut permettre de </w:t>
      </w:r>
      <w:r>
        <w:t>valider le caractère discriminatoire d’une situation donnée</w:t>
      </w:r>
      <w:r w:rsidR="001364DB">
        <w:t> :</w:t>
      </w:r>
      <w:r w:rsidR="009078A6" w:rsidRPr="003E79B3">
        <w:t xml:space="preserve"> </w:t>
      </w:r>
    </w:p>
    <w:p w:rsidR="009078A6" w:rsidRPr="00770F3C" w:rsidRDefault="009078A6" w:rsidP="00C9625D">
      <w:pPr>
        <w:numPr>
          <w:ilvl w:val="0"/>
          <w:numId w:val="15"/>
        </w:numPr>
      </w:pPr>
      <w:r w:rsidRPr="00770F3C">
        <w:t xml:space="preserve">Cette situation est-elle liée au handicap ou </w:t>
      </w:r>
      <w:r w:rsidR="006C7E53" w:rsidRPr="00770F3C">
        <w:t xml:space="preserve">à l’utilisation d’un </w:t>
      </w:r>
      <w:r w:rsidRPr="00770F3C">
        <w:t xml:space="preserve">moyen pour pallier </w:t>
      </w:r>
      <w:r w:rsidR="006C7E53" w:rsidRPr="00770F3C">
        <w:t>c</w:t>
      </w:r>
      <w:r w:rsidRPr="00770F3C">
        <w:t>e handicap ?</w:t>
      </w:r>
    </w:p>
    <w:p w:rsidR="009078A6" w:rsidRPr="00770F3C" w:rsidRDefault="009078A6" w:rsidP="00C9625D">
      <w:pPr>
        <w:numPr>
          <w:ilvl w:val="0"/>
          <w:numId w:val="15"/>
        </w:numPr>
      </w:pPr>
      <w:r w:rsidRPr="00770F3C">
        <w:t xml:space="preserve">Est-ce que l’environnement a été conçu en tenant compte des besoins et des capacités des personnes ayant des limitations </w:t>
      </w:r>
      <w:r w:rsidR="0065243A" w:rsidRPr="00770F3C">
        <w:t>fonctionnelles ?</w:t>
      </w:r>
    </w:p>
    <w:p w:rsidR="009078A6" w:rsidRPr="00770F3C" w:rsidRDefault="009078A6" w:rsidP="00C9625D">
      <w:pPr>
        <w:numPr>
          <w:ilvl w:val="0"/>
          <w:numId w:val="15"/>
        </w:numPr>
      </w:pPr>
      <w:r w:rsidRPr="00770F3C">
        <w:t>Cette situation est-elle ponctuelle ou récurrente ?</w:t>
      </w:r>
    </w:p>
    <w:p w:rsidR="009078A6" w:rsidRPr="00770F3C" w:rsidRDefault="009078A6" w:rsidP="00C9625D">
      <w:pPr>
        <w:numPr>
          <w:ilvl w:val="0"/>
          <w:numId w:val="15"/>
        </w:numPr>
      </w:pPr>
      <w:r w:rsidRPr="00770F3C">
        <w:t>Est-ce un cas isolé ? Est-ce que d’autres personnes ayant des limitations vivent ou ressentent la même chose ?</w:t>
      </w:r>
    </w:p>
    <w:p w:rsidR="009078A6" w:rsidRPr="00770F3C" w:rsidRDefault="009078A6" w:rsidP="00C9625D">
      <w:pPr>
        <w:numPr>
          <w:ilvl w:val="0"/>
          <w:numId w:val="15"/>
        </w:numPr>
      </w:pPr>
      <w:r w:rsidRPr="00770F3C">
        <w:t>Cette situation constitue-t-elle une atteinte à l’exercice d’un droit ?</w:t>
      </w:r>
    </w:p>
    <w:p w:rsidR="00160D7B" w:rsidRPr="00557278" w:rsidRDefault="00557278" w:rsidP="008F3101">
      <w:pPr>
        <w:pStyle w:val="Heading1"/>
      </w:pPr>
      <w:bookmarkStart w:id="21" w:name="_Toc23781682"/>
      <w:r w:rsidRPr="00557278">
        <w:t>Aménagement du territoire </w:t>
      </w:r>
      <w:r>
        <w:t>-</w:t>
      </w:r>
      <w:r w:rsidRPr="00557278">
        <w:t xml:space="preserve"> </w:t>
      </w:r>
      <w:r w:rsidR="00160D7B" w:rsidRPr="00557278">
        <w:t>Aménagements extérieurs</w:t>
      </w:r>
      <w:bookmarkEnd w:id="21"/>
    </w:p>
    <w:p w:rsidR="00DB7EF7" w:rsidRDefault="00DB7EF7" w:rsidP="00BC0A5B">
      <w:pPr>
        <w:pStyle w:val="Heading2"/>
      </w:pPr>
      <w:bookmarkStart w:id="22" w:name="_Toc23781683"/>
      <w:r>
        <w:t>Constats</w:t>
      </w:r>
      <w:bookmarkEnd w:id="22"/>
    </w:p>
    <w:p w:rsidR="001C41E4" w:rsidRDefault="00814091" w:rsidP="008F5985">
      <w:r>
        <w:t>P</w:t>
      </w:r>
      <w:r w:rsidRPr="00814091">
        <w:t>our l’ensemble des citoyens</w:t>
      </w:r>
      <w:r>
        <w:t>,</w:t>
      </w:r>
      <w:r w:rsidRPr="00814091">
        <w:t xml:space="preserve"> </w:t>
      </w:r>
      <w:r>
        <w:t>s</w:t>
      </w:r>
      <w:r w:rsidR="001C41E4">
        <w:t>e déplacer à Montréal n’est pas toujours chose facile</w:t>
      </w:r>
      <w:r w:rsidR="001C41E4" w:rsidRPr="00190CCB">
        <w:t>. En</w:t>
      </w:r>
      <w:r w:rsidR="001C41E4">
        <w:t xml:space="preserve"> outre, pour beaucoup de personnes à mobilité réduite</w:t>
      </w:r>
      <w:r w:rsidR="0027669A">
        <w:t xml:space="preserve"> ou mal voyantes</w:t>
      </w:r>
      <w:r w:rsidR="001C41E4">
        <w:t>, tout trajet doit de surcroît êtr</w:t>
      </w:r>
      <w:r w:rsidR="00D150D0">
        <w:t>e soigneusement planifié (</w:t>
      </w:r>
      <w:r w:rsidR="001C41E4">
        <w:t xml:space="preserve">identification des pentes et des zones de travaux, vérification du niveau de sécurité </w:t>
      </w:r>
      <w:r w:rsidR="001C41E4" w:rsidRPr="00915F42">
        <w:t xml:space="preserve">des </w:t>
      </w:r>
      <w:r w:rsidR="00915F42" w:rsidRPr="00915F42">
        <w:t>passages pour piéton</w:t>
      </w:r>
      <w:r w:rsidR="001C41E4" w:rsidRPr="00915F42">
        <w:t>s aux</w:t>
      </w:r>
      <w:r w:rsidR="001C41E4">
        <w:t xml:space="preserve"> intersections, etc.), ce qui engendre une surcharge mentale considérable. </w:t>
      </w:r>
    </w:p>
    <w:p w:rsidR="001C41E4" w:rsidRDefault="004B2ADD" w:rsidP="008F5985">
      <w:r>
        <w:t>Au demeurant</w:t>
      </w:r>
      <w:r w:rsidR="001C41E4">
        <w:t xml:space="preserve">, en dépit d’une préparation minutieuse de chaque trajet, toute personne à mobilité réduite </w:t>
      </w:r>
      <w:r w:rsidR="0027669A">
        <w:t xml:space="preserve">ou mal voyante </w:t>
      </w:r>
      <w:r w:rsidR="001C41E4">
        <w:t xml:space="preserve">doit toujours faire face à des obstacles ou </w:t>
      </w:r>
      <w:r w:rsidR="00034EE1">
        <w:t>à</w:t>
      </w:r>
      <w:r w:rsidR="00814091">
        <w:t xml:space="preserve"> des situations inattendu</w:t>
      </w:r>
      <w:r w:rsidR="001C41E4">
        <w:t xml:space="preserve">s et imprévisibles. Ce qui ne représente qu’un désagrément ou qu’un contretemps sans conséquences pour la majorité des citoyens peut constituer un effort immense, voire se transformer en un obstacle insurmontable, pour une personne ayant des limitations fonctionnelles. </w:t>
      </w:r>
    </w:p>
    <w:p w:rsidR="001C41E4" w:rsidRDefault="00814091" w:rsidP="008F5985">
      <w:r>
        <w:t>Par ailleurs</w:t>
      </w:r>
      <w:r w:rsidR="001C41E4">
        <w:t>, e</w:t>
      </w:r>
      <w:r w:rsidR="001C41E4" w:rsidRPr="00781060">
        <w:t xml:space="preserve">n hiver, les trottoirs mal déneigés ou mal déglacés, </w:t>
      </w:r>
      <w:r w:rsidR="001C41E4">
        <w:t xml:space="preserve">ainsi que </w:t>
      </w:r>
      <w:r w:rsidR="001C41E4" w:rsidRPr="00781060">
        <w:t>les intersections encombrées par les bancs de neige</w:t>
      </w:r>
      <w:r w:rsidR="001C41E4">
        <w:t>,</w:t>
      </w:r>
      <w:r w:rsidR="001C41E4" w:rsidRPr="00781060">
        <w:t xml:space="preserve"> ne permettent pas aux personnes </w:t>
      </w:r>
      <w:r w:rsidR="001C41E4">
        <w:t xml:space="preserve">à mobilité réduite </w:t>
      </w:r>
      <w:r w:rsidR="001C41E4" w:rsidRPr="00781060">
        <w:t>de circuler aisément et en toute sécurité. Un déneigement inadéquat peut les empêcher de circuler sur les trottoirs, de prendre le transport en commun (ex.</w:t>
      </w:r>
      <w:r w:rsidR="001364DB">
        <w:t> :</w:t>
      </w:r>
      <w:r w:rsidR="001C41E4" w:rsidRPr="00781060">
        <w:t xml:space="preserve"> </w:t>
      </w:r>
      <w:r w:rsidR="004B2ADD">
        <w:t>arrêts d’auto</w:t>
      </w:r>
      <w:r w:rsidR="001C41E4" w:rsidRPr="00781060">
        <w:t>bus enneigés, rampes de bus impossibles à déployer</w:t>
      </w:r>
      <w:r w:rsidR="001C41E4" w:rsidRPr="00814091">
        <w:t>, etc.), de</w:t>
      </w:r>
      <w:r w:rsidR="001C41E4" w:rsidRPr="00781060">
        <w:t xml:space="preserve"> prendre le transport adapté </w:t>
      </w:r>
      <w:r w:rsidR="00190CCB">
        <w:t>(ex.</w:t>
      </w:r>
      <w:r w:rsidR="001364DB">
        <w:t> :</w:t>
      </w:r>
      <w:r w:rsidR="00190CCB">
        <w:t xml:space="preserve"> débarcadères non dégagés</w:t>
      </w:r>
      <w:r w:rsidR="001C41E4" w:rsidRPr="00781060">
        <w:t xml:space="preserve"> et donc inutilisables, etc.), </w:t>
      </w:r>
      <w:r w:rsidR="001C41E4">
        <w:t xml:space="preserve">et peut ainsi </w:t>
      </w:r>
      <w:r w:rsidR="001C41E4" w:rsidRPr="00781060">
        <w:t xml:space="preserve">les </w:t>
      </w:r>
      <w:r w:rsidR="001C41E4">
        <w:t xml:space="preserve">contraindre </w:t>
      </w:r>
      <w:r w:rsidR="001C41E4" w:rsidRPr="00781060">
        <w:t xml:space="preserve">à rester enfermées chez elles. </w:t>
      </w:r>
    </w:p>
    <w:p w:rsidR="001C41E4" w:rsidRPr="008E5812" w:rsidRDefault="009F0C61" w:rsidP="008F5985">
      <w:r>
        <w:lastRenderedPageBreak/>
        <w:t xml:space="preserve">Finalement, </w:t>
      </w:r>
      <w:r w:rsidR="0027669A">
        <w:t>le manque d’adaptations</w:t>
      </w:r>
      <w:r w:rsidR="001C41E4" w:rsidRPr="008E5812">
        <w:t xml:space="preserve"> de </w:t>
      </w:r>
      <w:r w:rsidR="007D27B3">
        <w:t xml:space="preserve">certains </w:t>
      </w:r>
      <w:r w:rsidR="001C41E4" w:rsidRPr="008E5812">
        <w:t xml:space="preserve">aménagements extérieurs et la difficulté </w:t>
      </w:r>
      <w:r w:rsidR="003979E3">
        <w:t>d’</w:t>
      </w:r>
      <w:r w:rsidR="001C41E4" w:rsidRPr="008E5812">
        <w:t xml:space="preserve">y circuler </w:t>
      </w:r>
      <w:r w:rsidR="001C41E4" w:rsidRPr="0027669A">
        <w:t>librement, de manière a</w:t>
      </w:r>
      <w:r w:rsidR="001C41E4" w:rsidRPr="008E5812">
        <w:t>utonome et en toute sécurité</w:t>
      </w:r>
      <w:r w:rsidR="00D150D0">
        <w:t xml:space="preserve"> </w:t>
      </w:r>
      <w:r w:rsidR="00D150D0" w:rsidRPr="0027669A">
        <w:t>(ex.</w:t>
      </w:r>
      <w:r w:rsidR="001364DB">
        <w:t> :</w:t>
      </w:r>
      <w:r w:rsidR="00D150D0" w:rsidRPr="0027669A">
        <w:t xml:space="preserve"> trottoirs non déneigés ou obstrués, nids de poule, détours, etc.)</w:t>
      </w:r>
      <w:r w:rsidR="001C41E4" w:rsidRPr="008E5812">
        <w:t>, ont des conséquences multiples (ph</w:t>
      </w:r>
      <w:r w:rsidR="0027669A">
        <w:t>ysiques, psychologiques, etc.) po</w:t>
      </w:r>
      <w:r w:rsidR="001C41E4" w:rsidRPr="008E5812">
        <w:t>ur les personnes ayant d</w:t>
      </w:r>
      <w:r w:rsidR="00AD6D85">
        <w:t>es limitations fonctionnelles</w:t>
      </w:r>
      <w:r w:rsidR="00F86621">
        <w:t>. P</w:t>
      </w:r>
      <w:r w:rsidR="00AD6D85">
        <w:t>ar exemple</w:t>
      </w:r>
      <w:r w:rsidR="001364DB">
        <w:t> :</w:t>
      </w:r>
      <w:r w:rsidR="00AD6D85">
        <w:t xml:space="preserve"> </w:t>
      </w:r>
    </w:p>
    <w:p w:rsidR="009D4EF2" w:rsidRDefault="001C41E4" w:rsidP="00C9625D">
      <w:pPr>
        <w:numPr>
          <w:ilvl w:val="0"/>
          <w:numId w:val="16"/>
        </w:numPr>
      </w:pPr>
      <w:r w:rsidRPr="00AD6D85">
        <w:t xml:space="preserve">La planification de chaque déplacement requiert un temps de préparation relativement important, et </w:t>
      </w:r>
      <w:r w:rsidR="003979E3" w:rsidRPr="00AD6D85">
        <w:t xml:space="preserve">constitue </w:t>
      </w:r>
      <w:r w:rsidRPr="00AD6D85">
        <w:t>donc un fardeau supplémentaire ou une charge mentale</w:t>
      </w:r>
      <w:r w:rsidR="004E4D09" w:rsidRPr="00AD6D85">
        <w:t xml:space="preserve"> colossale</w:t>
      </w:r>
      <w:r w:rsidR="009D4EF2">
        <w:t xml:space="preserve">. </w:t>
      </w:r>
    </w:p>
    <w:p w:rsidR="001C41E4" w:rsidRPr="00AD6D85" w:rsidRDefault="001C41E4" w:rsidP="00C9625D">
      <w:pPr>
        <w:numPr>
          <w:ilvl w:val="0"/>
          <w:numId w:val="16"/>
        </w:numPr>
      </w:pPr>
      <w:r w:rsidRPr="00AD6D85">
        <w:t xml:space="preserve">Chaque déplacement peut créer de la douleur excessive, du stress et de l’anxiété, et ainsi </w:t>
      </w:r>
      <w:r w:rsidR="003979E3" w:rsidRPr="00AD6D85">
        <w:t xml:space="preserve">porter atteinte à </w:t>
      </w:r>
      <w:r w:rsidRPr="00AD6D85">
        <w:t xml:space="preserve">l’intégrité physique et psychologique des personnes. </w:t>
      </w:r>
    </w:p>
    <w:p w:rsidR="001C41E4" w:rsidRDefault="001C41E4" w:rsidP="00C9625D">
      <w:pPr>
        <w:numPr>
          <w:ilvl w:val="0"/>
          <w:numId w:val="16"/>
        </w:numPr>
      </w:pPr>
      <w:r w:rsidRPr="00AD6D85">
        <w:t>L</w:t>
      </w:r>
      <w:r w:rsidR="000D7030">
        <w:t>a</w:t>
      </w:r>
      <w:r w:rsidRPr="00AD6D85">
        <w:t xml:space="preserve"> sécurité </w:t>
      </w:r>
      <w:r w:rsidR="000D7030">
        <w:t xml:space="preserve">des personnes </w:t>
      </w:r>
      <w:r w:rsidRPr="00AD6D85">
        <w:t xml:space="preserve">peut être compromise de façon importante. </w:t>
      </w:r>
    </w:p>
    <w:p w:rsidR="000D7030" w:rsidRDefault="000D7030" w:rsidP="00C9625D">
      <w:pPr>
        <w:numPr>
          <w:ilvl w:val="0"/>
          <w:numId w:val="16"/>
        </w:numPr>
      </w:pPr>
      <w:r>
        <w:t xml:space="preserve">Les aléas causés par des environnements inadéquats ont un coût financier </w:t>
      </w:r>
      <w:r w:rsidRPr="0027669A">
        <w:t>(ex.</w:t>
      </w:r>
      <w:r w:rsidR="001364DB">
        <w:t> :</w:t>
      </w:r>
      <w:r w:rsidRPr="0027669A">
        <w:t xml:space="preserve"> retards au travail, </w:t>
      </w:r>
      <w:r w:rsidR="0027197F">
        <w:t xml:space="preserve">frais liés aux </w:t>
      </w:r>
      <w:r w:rsidRPr="0027669A">
        <w:t>réparations de l’équipement</w:t>
      </w:r>
      <w:r w:rsidR="001364DB">
        <w:t> :</w:t>
      </w:r>
      <w:r>
        <w:t xml:space="preserve"> roues de fauteuils endommagées, aides à la mobilité brisées</w:t>
      </w:r>
      <w:r w:rsidRPr="0027669A">
        <w:t>, etc.)</w:t>
      </w:r>
    </w:p>
    <w:p w:rsidR="001C41E4" w:rsidRPr="00AD6D85" w:rsidRDefault="001C41E4" w:rsidP="00C9625D">
      <w:pPr>
        <w:numPr>
          <w:ilvl w:val="0"/>
          <w:numId w:val="16"/>
        </w:numPr>
      </w:pPr>
      <w:r w:rsidRPr="00AD6D85">
        <w:t xml:space="preserve">Afin d’éviter de se mettre en danger, certaines personnes renoncent à rester autonomes </w:t>
      </w:r>
      <w:r w:rsidR="00BC7723" w:rsidRPr="00AD6D85">
        <w:t xml:space="preserve">dans </w:t>
      </w:r>
      <w:r w:rsidRPr="00AD6D85">
        <w:t xml:space="preserve">leurs déplacements, notamment en hiver, et sont obligées de prendre le transport adapté plutôt que de continuer à se déplacer par leurs propres moyens (en marchant, en roulant avec leur fauteuil, etc.). </w:t>
      </w:r>
    </w:p>
    <w:p w:rsidR="009D4EF2" w:rsidRDefault="001C41E4" w:rsidP="00C9625D">
      <w:pPr>
        <w:numPr>
          <w:ilvl w:val="0"/>
          <w:numId w:val="16"/>
        </w:numPr>
      </w:pPr>
      <w:r w:rsidRPr="00AD6D85">
        <w:t>L’impossibilité de se déplacer en toute sécurité et de façon autonome augmente l’isolement et la dépendance à autrui, ce qui a un impact significatif sur l’intégrité et la dignité des personnes</w:t>
      </w:r>
      <w:r w:rsidR="009D4EF2">
        <w:t xml:space="preserve">. </w:t>
      </w:r>
    </w:p>
    <w:p w:rsidR="001C41E4" w:rsidRPr="00AD6D85" w:rsidRDefault="001C41E4" w:rsidP="00C9625D">
      <w:pPr>
        <w:numPr>
          <w:ilvl w:val="0"/>
          <w:numId w:val="16"/>
        </w:numPr>
      </w:pPr>
      <w:r w:rsidRPr="00AD6D85">
        <w:t xml:space="preserve">De nombreuses personnes ayant des limitations fonctionnelles sont contraintes de limiter leurs déplacements, ce qui les prive de leur liberté de se déplacer. </w:t>
      </w:r>
    </w:p>
    <w:p w:rsidR="009F0C61" w:rsidRPr="009F0C61" w:rsidRDefault="009F0C61" w:rsidP="008F5985">
      <w:r w:rsidRPr="009F0C61">
        <w:t xml:space="preserve">Or, l’aménagement et l’entretien de la majorité des voies de circulation </w:t>
      </w:r>
      <w:r w:rsidR="00473D0C" w:rsidRPr="009F0C61">
        <w:t>(</w:t>
      </w:r>
      <w:r w:rsidR="00473D0C">
        <w:t>artères</w:t>
      </w:r>
      <w:r w:rsidR="00F86621">
        <w:t xml:space="preserve"> principales ou secondaires</w:t>
      </w:r>
      <w:r w:rsidRPr="009F0C61">
        <w:t>, trottoirs, etc.) et des parcs montréalais relèvent principalement des compétences municipales. Ainsi, si un aménagement ou si le manque d’entretien (y compris le déneigement ou le déglaçage) d’une voie de circulation constitue une entrave à la libre circulation d</w:t>
      </w:r>
      <w:r w:rsidR="00D150D0">
        <w:t>es personnes à mobilité réduite</w:t>
      </w:r>
      <w:r w:rsidRPr="009F0C61">
        <w:t xml:space="preserve"> </w:t>
      </w:r>
      <w:r w:rsidR="00D150D0">
        <w:t xml:space="preserve">ou mal voyantes, </w:t>
      </w:r>
      <w:r w:rsidRPr="009F0C61">
        <w:t xml:space="preserve">en raison de leur handicap ou </w:t>
      </w:r>
      <w:r w:rsidR="004A5FA9">
        <w:t xml:space="preserve">de </w:t>
      </w:r>
      <w:r w:rsidRPr="009F0C61">
        <w:t>l’utilisation d’un moyen pour pallier ce handicap, la Ville de Montréal doit tout mettre en œuvre pour remédier à ces situations qui génèrent de la discrimination envers les personnes ayant des limitations fonctionnelles</w:t>
      </w:r>
      <w:r w:rsidR="00AC40AA">
        <w:t>,</w:t>
      </w:r>
      <w:r w:rsidRPr="009F0C61">
        <w:t xml:space="preserve"> dans leur vie quotidienne. </w:t>
      </w:r>
    </w:p>
    <w:p w:rsidR="00160D7B" w:rsidRPr="00BC0A5B" w:rsidRDefault="005C727B" w:rsidP="00BC0A5B">
      <w:pPr>
        <w:pStyle w:val="Heading2"/>
      </w:pPr>
      <w:bookmarkStart w:id="23" w:name="_Toc23781684"/>
      <w:r w:rsidRPr="00BC0A5B">
        <w:lastRenderedPageBreak/>
        <w:t xml:space="preserve">Situations de discrimination et </w:t>
      </w:r>
      <w:r w:rsidR="00EB7A64">
        <w:t>atteinte à l’</w:t>
      </w:r>
      <w:r w:rsidRPr="00BC0A5B">
        <w:t>exercice des droits</w:t>
      </w:r>
      <w:bookmarkEnd w:id="23"/>
    </w:p>
    <w:p w:rsidR="008E5812" w:rsidRPr="00987F89" w:rsidRDefault="0017598A" w:rsidP="00987F89">
      <w:pPr>
        <w:pStyle w:val="Heading3"/>
      </w:pPr>
      <w:r w:rsidRPr="00987F89">
        <w:t>Droit à la sûreté, à l’intégrité et à la liberté</w:t>
      </w:r>
    </w:p>
    <w:p w:rsidR="00F21FD7" w:rsidRPr="00BD00EE" w:rsidRDefault="00F21FD7" w:rsidP="00C9625D">
      <w:pPr>
        <w:numPr>
          <w:ilvl w:val="0"/>
          <w:numId w:val="17"/>
        </w:numPr>
      </w:pPr>
      <w:r w:rsidRPr="00D93236">
        <w:t>Sullivan</w:t>
      </w:r>
      <w:r w:rsidR="001364DB">
        <w:t> :</w:t>
      </w:r>
      <w:r w:rsidRPr="00D93236">
        <w:t xml:space="preserve"> « Sur Maisonneuve, </w:t>
      </w:r>
      <w:r w:rsidR="00C84121" w:rsidRPr="00D93236">
        <w:t xml:space="preserve">[au niveau du quartier des spectacles], </w:t>
      </w:r>
      <w:r w:rsidRPr="00D93236">
        <w:t>la piste cyclable est dangereuse, mal délimitée</w:t>
      </w:r>
      <w:r w:rsidR="001364DB">
        <w:t> :</w:t>
      </w:r>
      <w:r w:rsidRPr="00D93236">
        <w:t xml:space="preserve"> une personne aveugle</w:t>
      </w:r>
      <w:r w:rsidR="00190CCB">
        <w:t>,</w:t>
      </w:r>
      <w:r w:rsidRPr="00D93236">
        <w:t xml:space="preserve"> comme moi, ne sait pas où s’arrête la zone </w:t>
      </w:r>
      <w:r w:rsidR="0065243A" w:rsidRPr="00D93236">
        <w:t>piétonne</w:t>
      </w:r>
      <w:r w:rsidRPr="00D93236">
        <w:t xml:space="preserve"> et où commence la piste cyclable. […] je me suis déjà retrouvé sur l</w:t>
      </w:r>
      <w:r w:rsidR="00814091">
        <w:t>a piste cyclable sans le savoir</w:t>
      </w:r>
      <w:r w:rsidR="00261F23">
        <w:t>.</w:t>
      </w:r>
      <w:r w:rsidRPr="00D93236">
        <w:t xml:space="preserve"> » </w:t>
      </w:r>
      <w:r w:rsidRPr="00D93236">
        <w:br/>
        <w:t xml:space="preserve">La prise en compte des normes de conception universelle </w:t>
      </w:r>
      <w:r w:rsidR="00BC7723" w:rsidRPr="00D93236">
        <w:t xml:space="preserve">dès le </w:t>
      </w:r>
      <w:r w:rsidRPr="00D93236">
        <w:t xml:space="preserve">début du projet d’aménagement de la piste cyclable aurait favorisé une cohabitation harmonieuse des piétons et des cyclistes dans cette zone, tout en garantissant la </w:t>
      </w:r>
      <w:r w:rsidRPr="00BD00EE">
        <w:t xml:space="preserve">sécurité de tous. </w:t>
      </w:r>
    </w:p>
    <w:p w:rsidR="000329BC" w:rsidRPr="00D93236" w:rsidRDefault="000329BC" w:rsidP="00C9625D">
      <w:pPr>
        <w:numPr>
          <w:ilvl w:val="0"/>
          <w:numId w:val="17"/>
        </w:numPr>
      </w:pPr>
      <w:r w:rsidRPr="00BD00EE">
        <w:t xml:space="preserve">Paul circule </w:t>
      </w:r>
      <w:r w:rsidR="00BD00EE" w:rsidRPr="00BD00EE">
        <w:t>en</w:t>
      </w:r>
      <w:r w:rsidRPr="00BD00EE">
        <w:t xml:space="preserve"> fauteuil </w:t>
      </w:r>
      <w:r w:rsidR="00BD00EE" w:rsidRPr="00BD00EE">
        <w:t xml:space="preserve">roulant </w:t>
      </w:r>
      <w:r w:rsidRPr="00BD00EE">
        <w:t>manuel</w:t>
      </w:r>
      <w:r w:rsidRPr="00D93236">
        <w:t xml:space="preserve"> sur le trottoir d’une rue légèrement en pente quand la présence d’un nid de poule, infranchissable avec son fauteuil, le contraint à retourner à l’intersection précédente, où le bateau-pavé (trottoir surbaissé) lui permettra de traverser la route pour rejoindre le trottoir d’en face. </w:t>
      </w:r>
      <w:r w:rsidRPr="00D93236">
        <w:br/>
        <w:t xml:space="preserve">Cependant, à cet endroit, le trottoir n’est pas suffisamment large pour permettre à Paul de faire demi-tour seul, sans risquer de tomber sur la chaussée. Paul est alors obligé de demander à un passant de l’aider à effectuer sa manœuvre. Au surplus, remonter la rue jusqu’à l’intersection lui demande un effort physique considérable. </w:t>
      </w:r>
      <w:r w:rsidRPr="00D93236">
        <w:br/>
        <w:t xml:space="preserve">Une meilleure attention portée à l’état des </w:t>
      </w:r>
      <w:r w:rsidR="00AC40AA" w:rsidRPr="00D93236">
        <w:t xml:space="preserve">trottoirs et des </w:t>
      </w:r>
      <w:r w:rsidRPr="00D93236">
        <w:t>voies de circulation</w:t>
      </w:r>
      <w:r w:rsidR="00D93236">
        <w:t>, ainsi qu’</w:t>
      </w:r>
      <w:r w:rsidRPr="00D93236">
        <w:t>une signalisation adéquate</w:t>
      </w:r>
      <w:r w:rsidR="00D93236">
        <w:t>,</w:t>
      </w:r>
      <w:r w:rsidRPr="00D93236">
        <w:t xml:space="preserve"> auraient permis à Paul d’être informé de la présence d’un obstacle sur cette portion de trottoir avant de s’y engager, lui évitant ainsi de se mettre en danger et de faire un effort physique </w:t>
      </w:r>
      <w:r w:rsidR="00344408" w:rsidRPr="00D93236">
        <w:t xml:space="preserve">potentiellement </w:t>
      </w:r>
      <w:r w:rsidRPr="00D93236">
        <w:t xml:space="preserve">dommageable pour sa santé. </w:t>
      </w:r>
    </w:p>
    <w:p w:rsidR="009D4EF2" w:rsidRDefault="000329BC" w:rsidP="00C9625D">
      <w:pPr>
        <w:numPr>
          <w:ilvl w:val="0"/>
          <w:numId w:val="17"/>
        </w:numPr>
      </w:pPr>
      <w:r w:rsidRPr="00D93236">
        <w:t xml:space="preserve">Myriam est aveugle. Plusieurs fois par mois, elle effectue le même parcours pour se rendre au centre communautaire de son quartier. Un matin, sans le savoir, </w:t>
      </w:r>
      <w:r w:rsidR="00BD00EE">
        <w:t xml:space="preserve">Myriam </w:t>
      </w:r>
      <w:r w:rsidRPr="00D93236">
        <w:t xml:space="preserve">se retrouve au beau milieu d’une zone de travaux signalée uniquement par des cônes oranges, </w:t>
      </w:r>
      <w:r w:rsidR="00BC7723" w:rsidRPr="00D93236">
        <w:t xml:space="preserve">difficilement </w:t>
      </w:r>
      <w:r w:rsidRPr="00D93236">
        <w:t xml:space="preserve">détectables avec sa canne blanche. Sans l’intervention d’un piéton attentif, Myriam serait tombée dans un trou large et profond. </w:t>
      </w:r>
      <w:r w:rsidRPr="00D93236">
        <w:br/>
        <w:t>La présence de barrières de sécurité (détectables avec une canne blanche) autour de la zone de travaux aurait permis à Myriam d’être informée de l’ex</w:t>
      </w:r>
      <w:r w:rsidR="00BD00EE">
        <w:t>istence de ces travaux, et donc</w:t>
      </w:r>
      <w:r w:rsidRPr="00D93236">
        <w:t xml:space="preserve"> d’emprunter un autre chemin pour se déplacer en toute sécurité</w:t>
      </w:r>
      <w:r w:rsidR="009D4EF2">
        <w:t xml:space="preserve">. </w:t>
      </w:r>
    </w:p>
    <w:p w:rsidR="003751B6" w:rsidRDefault="000329BC" w:rsidP="00C9625D">
      <w:pPr>
        <w:numPr>
          <w:ilvl w:val="0"/>
          <w:numId w:val="17"/>
        </w:numPr>
      </w:pPr>
      <w:r w:rsidRPr="00D93236">
        <w:lastRenderedPageBreak/>
        <w:t>Judith</w:t>
      </w:r>
      <w:r w:rsidR="001364DB">
        <w:t> :</w:t>
      </w:r>
      <w:r w:rsidRPr="00D93236">
        <w:t xml:space="preserve"> « [En hiver], les trottoirs sont très souvent impraticables [</w:t>
      </w:r>
      <w:r w:rsidR="00195BE1">
        <w:t>en</w:t>
      </w:r>
      <w:r w:rsidRPr="00D93236">
        <w:t xml:space="preserve"> fauteuil], je dois donc rouler sur la route, même si c’est interdit. […] c’est dangereux</w:t>
      </w:r>
      <w:r w:rsidR="001B1F43" w:rsidRPr="00D93236">
        <w:t xml:space="preserve"> </w:t>
      </w:r>
      <w:r w:rsidRPr="00D93236">
        <w:t>et je me fais éclabousser par les voitures, mais je n’ai pas l</w:t>
      </w:r>
      <w:r w:rsidR="003751B6">
        <w:t xml:space="preserve">e choix. » </w:t>
      </w:r>
    </w:p>
    <w:p w:rsidR="000329BC" w:rsidRPr="00D93236" w:rsidRDefault="000329BC" w:rsidP="00C9625D">
      <w:pPr>
        <w:numPr>
          <w:ilvl w:val="0"/>
          <w:numId w:val="17"/>
        </w:numPr>
      </w:pPr>
      <w:r w:rsidRPr="00D93236">
        <w:t>Sullivan</w:t>
      </w:r>
      <w:r w:rsidR="001364DB">
        <w:t> :</w:t>
      </w:r>
      <w:r w:rsidRPr="00D93236">
        <w:t xml:space="preserve"> « Je suis plus isolé en hiver, car je n’ose pas sortir. Il est très difficile de circuler sur les trottoirs </w:t>
      </w:r>
      <w:r w:rsidR="00195BE1">
        <w:t>mal déneigés,</w:t>
      </w:r>
      <w:r w:rsidRPr="00195BE1">
        <w:t xml:space="preserve"> de traverser les rues </w:t>
      </w:r>
      <w:r w:rsidR="00195BE1">
        <w:t>inondé</w:t>
      </w:r>
      <w:r w:rsidR="00195BE1" w:rsidRPr="00195BE1">
        <w:t xml:space="preserve">es </w:t>
      </w:r>
      <w:r w:rsidRPr="00195BE1">
        <w:t>en toute sécurité</w:t>
      </w:r>
      <w:r w:rsidR="005B597F">
        <w:t>,</w:t>
      </w:r>
      <w:r w:rsidRPr="00195BE1">
        <w:t xml:space="preserve"> </w:t>
      </w:r>
      <w:r w:rsidR="00195BE1">
        <w:t>ou de détecter le bord du trottoir</w:t>
      </w:r>
      <w:r w:rsidR="005B597F">
        <w:t>,</w:t>
      </w:r>
      <w:r w:rsidR="00195BE1">
        <w:t xml:space="preserve"> </w:t>
      </w:r>
      <w:r w:rsidRPr="00195BE1">
        <w:t xml:space="preserve">quand on se déplace avec une canne blanche. Je prends le transport adapté quand je dois absolument sortir, mais ce </w:t>
      </w:r>
      <w:r w:rsidR="00BD00EE" w:rsidRPr="00195BE1">
        <w:t>ne serait pas mon</w:t>
      </w:r>
      <w:r w:rsidR="00BD00EE">
        <w:t xml:space="preserve"> premier choix</w:t>
      </w:r>
      <w:r w:rsidR="00261F23">
        <w:t>.</w:t>
      </w:r>
      <w:r w:rsidRPr="00D93236">
        <w:t> »</w:t>
      </w:r>
      <w:r w:rsidRPr="00D93236">
        <w:br/>
        <w:t>Un déneigement adéquat des voies de circulation (chaussée</w:t>
      </w:r>
      <w:r w:rsidR="005B597F">
        <w:t>s</w:t>
      </w:r>
      <w:r w:rsidRPr="00D93236">
        <w:t xml:space="preserve">, trottoirs et intersections), dans un délai raisonnable suivant chaque chute de neige, permettrait </w:t>
      </w:r>
      <w:r w:rsidR="002C7E6F">
        <w:t>à Judith et à Sullivan</w:t>
      </w:r>
      <w:r w:rsidRPr="00D93236">
        <w:t xml:space="preserve"> d’utiliser les trottoirs pour circuler librement et en toute sécurité durant l’hiver, et assurerait leur droit à l’intégrité et à la liberté. </w:t>
      </w:r>
    </w:p>
    <w:p w:rsidR="000329BC" w:rsidRDefault="0025575C" w:rsidP="00987F89">
      <w:pPr>
        <w:pStyle w:val="Heading3"/>
      </w:pPr>
      <w:r>
        <w:t xml:space="preserve">Droit d’accès aux moyens de transports et aux lieux publics </w:t>
      </w:r>
      <w:r w:rsidR="00C9739F">
        <w:t>– Droit à l’égalité</w:t>
      </w:r>
    </w:p>
    <w:p w:rsidR="0025575C" w:rsidRPr="00D93236" w:rsidRDefault="0025575C" w:rsidP="00C9625D">
      <w:pPr>
        <w:numPr>
          <w:ilvl w:val="0"/>
          <w:numId w:val="18"/>
        </w:numPr>
      </w:pPr>
      <w:r w:rsidRPr="00D93236">
        <w:t>Rachid, qui se déplace en fauteuil motorisé,</w:t>
      </w:r>
      <w:r w:rsidR="001B1F43" w:rsidRPr="00D93236">
        <w:t xml:space="preserve"> </w:t>
      </w:r>
      <w:r w:rsidRPr="00D93236">
        <w:t xml:space="preserve">utilise quotidiennement l’autobus pour se rendre à son travail. L’arrêt d’autobus se situe à </w:t>
      </w:r>
      <w:r w:rsidR="0065243A" w:rsidRPr="00D93236">
        <w:t>quelques mètres</w:t>
      </w:r>
      <w:r w:rsidRPr="00D93236">
        <w:t xml:space="preserve"> de son domicile. Pour s’assurer de pouvoir sortir de chez lui en hiver, il a adhéré à un service pour personnes à mobilité réduite</w:t>
      </w:r>
      <w:r w:rsidR="001364DB">
        <w:t> :</w:t>
      </w:r>
      <w:r w:rsidRPr="00D93236">
        <w:t xml:space="preserve"> des bénévoles viennent déneiger l’allée qui mène de son entrée au trottoir après chaque </w:t>
      </w:r>
      <w:r w:rsidR="0065243A" w:rsidRPr="00D93236">
        <w:t>chute</w:t>
      </w:r>
      <w:r w:rsidRPr="00D93236">
        <w:t xml:space="preserve"> de neige. Toutefois, en hiver, il arrive fréquemment que Rachid ne puisse pas embarquer dans l’autobus, parfois même pendant plusieurs jours consécutifs, car la présence des bancs de neige ne permet pas au chauffeur de l’autobus de déployer la rampe. </w:t>
      </w:r>
      <w:r w:rsidRPr="00D93236">
        <w:br/>
        <w:t>Un déneigement adéquat aux abords des arrêts d</w:t>
      </w:r>
      <w:r w:rsidR="00C9739F" w:rsidRPr="00D93236">
        <w:t>’auto</w:t>
      </w:r>
      <w:r w:rsidRPr="00D93236">
        <w:t xml:space="preserve">bus après chaque chute </w:t>
      </w:r>
      <w:r w:rsidRPr="00056CEF">
        <w:t>de neige (</w:t>
      </w:r>
      <w:r w:rsidR="00056CEF" w:rsidRPr="00056CEF">
        <w:t>et après le passage du chasse-neige</w:t>
      </w:r>
      <w:r w:rsidRPr="00056CEF">
        <w:t>) permettrait à Rachid de prendre</w:t>
      </w:r>
      <w:r w:rsidRPr="00D93236">
        <w:t xml:space="preserve"> librement l’autobus pour aller travailler, comme tout usager du transport en commun. </w:t>
      </w:r>
    </w:p>
    <w:p w:rsidR="00160D7B" w:rsidRDefault="009B342A" w:rsidP="008F3101">
      <w:pPr>
        <w:pStyle w:val="Heading1"/>
      </w:pPr>
      <w:bookmarkStart w:id="24" w:name="_Toc23781685"/>
      <w:r>
        <w:t xml:space="preserve">Aménagement du territoire </w:t>
      </w:r>
      <w:r w:rsidR="009F0C61">
        <w:t>–</w:t>
      </w:r>
      <w:r>
        <w:t xml:space="preserve"> </w:t>
      </w:r>
      <w:r w:rsidR="009F0C61">
        <w:t>Environnement bâti</w:t>
      </w:r>
      <w:bookmarkEnd w:id="24"/>
    </w:p>
    <w:p w:rsidR="0053680F" w:rsidRDefault="0053680F" w:rsidP="009B342A">
      <w:pPr>
        <w:pStyle w:val="Heading2"/>
      </w:pPr>
      <w:bookmarkStart w:id="25" w:name="_Toc23781686"/>
      <w:r>
        <w:t>Constats</w:t>
      </w:r>
      <w:bookmarkEnd w:id="25"/>
    </w:p>
    <w:p w:rsidR="00344408" w:rsidRDefault="00344408" w:rsidP="008F5985">
      <w:r>
        <w:t>À l’instar des aménagements extérieurs, de nombreux édifices publics</w:t>
      </w:r>
      <w:r w:rsidR="00202714">
        <w:t xml:space="preserve">, qui relèvent des compétences municipales, sont partiellement ou totalement inaccessibles aux personnes à mobilité réduite. </w:t>
      </w:r>
    </w:p>
    <w:p w:rsidR="00202714" w:rsidRDefault="00FA0879" w:rsidP="008F5985">
      <w:r>
        <w:t>En effet, s</w:t>
      </w:r>
      <w:r w:rsidR="00DB7A9C">
        <w:t xml:space="preserve">i la présence de marches à l’entrée, </w:t>
      </w:r>
      <w:r w:rsidR="001C5311">
        <w:t xml:space="preserve">l’étroitesse des portes, </w:t>
      </w:r>
      <w:r w:rsidR="00DB7A9C">
        <w:t>la vétusté ou l’absence d’ascenseurs rendent</w:t>
      </w:r>
      <w:r w:rsidR="003668E8">
        <w:t>,</w:t>
      </w:r>
      <w:r w:rsidR="00DB7A9C">
        <w:t xml:space="preserve"> en tout ou en partie, </w:t>
      </w:r>
      <w:r w:rsidR="003668E8">
        <w:t xml:space="preserve">un édifice inaccessible aux </w:t>
      </w:r>
      <w:r w:rsidR="003668E8">
        <w:lastRenderedPageBreak/>
        <w:t xml:space="preserve">personnes à mobilité réduite, </w:t>
      </w:r>
      <w:r w:rsidR="00E8675D">
        <w:t xml:space="preserve">d’autres « éléments d’inaccessibilité » </w:t>
      </w:r>
      <w:r w:rsidR="003668E8">
        <w:t xml:space="preserve">les </w:t>
      </w:r>
      <w:r w:rsidR="00E8675D">
        <w:t>obligent à demander de l’aide pour s’y déplacer (ex.</w:t>
      </w:r>
      <w:r w:rsidR="001364DB">
        <w:t> :</w:t>
      </w:r>
      <w:r w:rsidR="00E8675D">
        <w:t xml:space="preserve"> portes trop lourdes, bouton d’appel d’ascenseur trop haut, ascenseur dépourvu d’un système d’annonce vocale, etc.)</w:t>
      </w:r>
      <w:r w:rsidR="003668E8">
        <w:t>, les privant ainsi de leur autonomie.</w:t>
      </w:r>
      <w:r w:rsidR="006A760E">
        <w:t xml:space="preserve"> De même, un bâtiment dont l’entrée dépend de l’utilisation d’un système d’interphone, avec code ou sonnette, peut </w:t>
      </w:r>
      <w:r w:rsidR="0065243A">
        <w:t>empêcher</w:t>
      </w:r>
      <w:r w:rsidR="006A760E">
        <w:t xml:space="preserve"> une personne ayant </w:t>
      </w:r>
      <w:r w:rsidR="006A760E" w:rsidRPr="00195BE1">
        <w:t>une déficience auditive ou visuelle</w:t>
      </w:r>
      <w:r w:rsidR="00195BE1" w:rsidRPr="00195BE1">
        <w:t xml:space="preserve"> </w:t>
      </w:r>
      <w:r w:rsidR="00195BE1">
        <w:t xml:space="preserve">ou de petite taille, </w:t>
      </w:r>
      <w:r w:rsidR="00195BE1" w:rsidRPr="00195BE1">
        <w:t>par</w:t>
      </w:r>
      <w:r w:rsidR="00195BE1">
        <w:t xml:space="preserve"> exemple</w:t>
      </w:r>
      <w:r w:rsidR="00D150D0">
        <w:t>,</w:t>
      </w:r>
      <w:r w:rsidR="006A760E">
        <w:t xml:space="preserve"> d’y entrer. </w:t>
      </w:r>
    </w:p>
    <w:p w:rsidR="001C5311" w:rsidRDefault="001C5311" w:rsidP="008F5985">
      <w:r>
        <w:t xml:space="preserve">Par ailleurs, le fait que l’entrée </w:t>
      </w:r>
      <w:r w:rsidR="00C31F0F">
        <w:t xml:space="preserve">accessible </w:t>
      </w:r>
      <w:r>
        <w:t xml:space="preserve">soit </w:t>
      </w:r>
      <w:r w:rsidR="001D7B13">
        <w:t xml:space="preserve">fréquemment </w:t>
      </w:r>
      <w:r w:rsidR="00F80D1D">
        <w:t xml:space="preserve">distincte </w:t>
      </w:r>
      <w:r>
        <w:t>de l’entrée</w:t>
      </w:r>
      <w:r w:rsidR="00C31F0F">
        <w:t xml:space="preserve"> principale</w:t>
      </w:r>
      <w:r>
        <w:t xml:space="preserve">, </w:t>
      </w:r>
      <w:r w:rsidR="00F80D1D">
        <w:t xml:space="preserve">et </w:t>
      </w:r>
      <w:r w:rsidR="00C31F0F">
        <w:t xml:space="preserve">qu’il s’agisse </w:t>
      </w:r>
      <w:r w:rsidR="001D7B13">
        <w:t>généralement</w:t>
      </w:r>
      <w:r w:rsidR="00C31F0F">
        <w:t xml:space="preserve"> </w:t>
      </w:r>
      <w:r w:rsidR="00A54865">
        <w:t xml:space="preserve">d’une sortie secondaire ou </w:t>
      </w:r>
      <w:r w:rsidR="00C31F0F">
        <w:t>d’</w:t>
      </w:r>
      <w:r w:rsidR="00F80D1D">
        <w:t xml:space="preserve">un accès initialement </w:t>
      </w:r>
      <w:r w:rsidR="00A54865">
        <w:t xml:space="preserve">dédié </w:t>
      </w:r>
      <w:r w:rsidR="00F80D1D">
        <w:t>à la maintenance ou à l’entretien de l’édifice</w:t>
      </w:r>
      <w:r w:rsidR="00C31F0F">
        <w:t xml:space="preserve"> (</w:t>
      </w:r>
      <w:r w:rsidR="001D7B13">
        <w:t xml:space="preserve">comme des espaces de chargement, </w:t>
      </w:r>
      <w:r w:rsidR="00D33E27">
        <w:t xml:space="preserve">un </w:t>
      </w:r>
      <w:r w:rsidR="001D7B13">
        <w:t xml:space="preserve">accès au local poubelles, etc.), dont la salubrité et la convivialité sont </w:t>
      </w:r>
      <w:r w:rsidR="002F37B5">
        <w:t xml:space="preserve">du reste </w:t>
      </w:r>
      <w:r w:rsidR="00D33E27">
        <w:t xml:space="preserve">parfois </w:t>
      </w:r>
      <w:r w:rsidR="001D7B13">
        <w:t>discutables, perpétue une marginalisation et une exclusion des personnes à mobilité réduite</w:t>
      </w:r>
      <w:r w:rsidR="00F918AE">
        <w:t>,</w:t>
      </w:r>
      <w:r w:rsidR="001D7B13">
        <w:t xml:space="preserve"> </w:t>
      </w:r>
      <w:r w:rsidR="00F918AE">
        <w:t xml:space="preserve">qui bénéficient d’un traitement différent, parfois dégradant, </w:t>
      </w:r>
      <w:r w:rsidR="00A54865">
        <w:t xml:space="preserve">ce qui constitue un cas typique de discrimination systémique. </w:t>
      </w:r>
    </w:p>
    <w:p w:rsidR="00FA0879" w:rsidRDefault="002F37B5" w:rsidP="008F5985">
      <w:r>
        <w:t>Au demeurant</w:t>
      </w:r>
      <w:r w:rsidR="00D33E27">
        <w:t xml:space="preserve">, </w:t>
      </w:r>
      <w:r w:rsidR="00FA0879">
        <w:t xml:space="preserve">la plupart des obstacles à l’accessibilité présents dans les édifices </w:t>
      </w:r>
      <w:r w:rsidR="00F511F5">
        <w:t xml:space="preserve">municipaux </w:t>
      </w:r>
      <w:r w:rsidR="00FA0879">
        <w:t xml:space="preserve">constituent une atteinte </w:t>
      </w:r>
      <w:r w:rsidR="0007498C">
        <w:t>aux droits des personnes ayant des limitations fonctionnelles</w:t>
      </w:r>
      <w:r w:rsidR="002E0490">
        <w:t xml:space="preserve">, </w:t>
      </w:r>
      <w:r w:rsidR="00CD2752">
        <w:t xml:space="preserve">notamment au </w:t>
      </w:r>
      <w:r w:rsidR="00FA0879">
        <w:t>droit d’accéder aux bâtiments publics ou aux services qui y sont dispensés</w:t>
      </w:r>
      <w:r w:rsidR="00FA0879" w:rsidRPr="005B597F">
        <w:t xml:space="preserve">, </w:t>
      </w:r>
      <w:r w:rsidR="00CD2752" w:rsidRPr="005B597F">
        <w:t xml:space="preserve">au </w:t>
      </w:r>
      <w:r w:rsidR="0007498C" w:rsidRPr="005B597F">
        <w:t xml:space="preserve">droit à l’intégrité </w:t>
      </w:r>
      <w:r w:rsidR="002E0490" w:rsidRPr="005B597F">
        <w:t xml:space="preserve">ou </w:t>
      </w:r>
      <w:r w:rsidR="00CD2752" w:rsidRPr="005B597F">
        <w:t>au</w:t>
      </w:r>
      <w:r w:rsidR="00CD2752">
        <w:t xml:space="preserve"> </w:t>
      </w:r>
      <w:r w:rsidR="0007498C">
        <w:t xml:space="preserve">droit à l’égalité, </w:t>
      </w:r>
      <w:r w:rsidR="00CD2752">
        <w:t xml:space="preserve">mais également </w:t>
      </w:r>
      <w:r w:rsidR="00F511F5">
        <w:t>au droit à la dignité</w:t>
      </w:r>
      <w:r w:rsidR="002E0490">
        <w:t xml:space="preserve"> de la personne</w:t>
      </w:r>
      <w:r w:rsidR="0007498C">
        <w:t xml:space="preserve">. </w:t>
      </w:r>
    </w:p>
    <w:p w:rsidR="0007498C" w:rsidRDefault="0007498C" w:rsidP="008F5985">
      <w:r>
        <w:t>Finalement, l</w:t>
      </w:r>
      <w:r w:rsidR="000D7030">
        <w:t>e manque d’adaptation</w:t>
      </w:r>
      <w:r w:rsidRPr="008E5812">
        <w:t xml:space="preserve"> de </w:t>
      </w:r>
      <w:r>
        <w:t xml:space="preserve">certains bâtiments </w:t>
      </w:r>
      <w:r w:rsidRPr="008E5812">
        <w:t xml:space="preserve">et la difficulté </w:t>
      </w:r>
      <w:r w:rsidR="002E0490">
        <w:t>de les utiliser complétement ou d’</w:t>
      </w:r>
      <w:r w:rsidRPr="008E5812">
        <w:t xml:space="preserve">y circuler librement, de </w:t>
      </w:r>
      <w:r w:rsidR="00A34252">
        <w:t xml:space="preserve">façon </w:t>
      </w:r>
      <w:r w:rsidRPr="008E5812">
        <w:t>autonome et en toute sécurité, ont des conséquences multiples (physiques, psychologiques, etc.) sur les personnes ayant d</w:t>
      </w:r>
      <w:r w:rsidR="00726FA6">
        <w:t>es limitations fonctionnelles. Par exemple</w:t>
      </w:r>
      <w:r w:rsidR="001364DB">
        <w:t> :</w:t>
      </w:r>
      <w:r w:rsidR="00726FA6">
        <w:t xml:space="preserve"> </w:t>
      </w:r>
    </w:p>
    <w:p w:rsidR="009D4EF2" w:rsidRDefault="00940135" w:rsidP="00C9625D">
      <w:pPr>
        <w:numPr>
          <w:ilvl w:val="0"/>
          <w:numId w:val="19"/>
        </w:numPr>
      </w:pPr>
      <w:r w:rsidRPr="00726FA6">
        <w:t>L’imprévisibilité de chaque déplacement représente un fardeau supplémentaire et une charge mentale permanente</w:t>
      </w:r>
      <w:r w:rsidR="009D4EF2">
        <w:t xml:space="preserve">. </w:t>
      </w:r>
    </w:p>
    <w:p w:rsidR="00940135" w:rsidRPr="00726FA6" w:rsidRDefault="00940135" w:rsidP="00C9625D">
      <w:pPr>
        <w:numPr>
          <w:ilvl w:val="0"/>
          <w:numId w:val="19"/>
        </w:numPr>
      </w:pPr>
      <w:r w:rsidRPr="00726FA6">
        <w:t xml:space="preserve">La perte d’autonomie </w:t>
      </w:r>
      <w:r w:rsidR="008A41EA" w:rsidRPr="00726FA6">
        <w:t>qui découle des obstacles à l’accessibilité constitue une véritable atteinte à l’intégrité des personnes</w:t>
      </w:r>
      <w:r w:rsidR="00B13084" w:rsidRPr="00726FA6">
        <w:t xml:space="preserve"> ayant des limitations fonctionnelles. </w:t>
      </w:r>
    </w:p>
    <w:p w:rsidR="008A41EA" w:rsidRPr="00726FA6" w:rsidRDefault="008A41EA" w:rsidP="00C9625D">
      <w:pPr>
        <w:numPr>
          <w:ilvl w:val="0"/>
          <w:numId w:val="19"/>
        </w:numPr>
      </w:pPr>
      <w:r w:rsidRPr="00726FA6">
        <w:t xml:space="preserve">L’inaccessibilité d’un édifice peut priver </w:t>
      </w:r>
      <w:r w:rsidR="00B13084" w:rsidRPr="00726FA6">
        <w:t xml:space="preserve">une </w:t>
      </w:r>
      <w:r w:rsidRPr="00726FA6">
        <w:t xml:space="preserve">personne </w:t>
      </w:r>
      <w:r w:rsidR="00B13084" w:rsidRPr="00726FA6">
        <w:t xml:space="preserve">à mobilité réduite </w:t>
      </w:r>
      <w:r w:rsidRPr="00726FA6">
        <w:t>de la possibilité d</w:t>
      </w:r>
      <w:r w:rsidR="00B13084" w:rsidRPr="00726FA6">
        <w:t>e</w:t>
      </w:r>
      <w:r w:rsidRPr="00726FA6">
        <w:t xml:space="preserve"> recevoir les services qui y sont dispensés</w:t>
      </w:r>
      <w:r w:rsidR="00B13084" w:rsidRPr="00726FA6">
        <w:t xml:space="preserve">, et auxquels les autres citoyens ont accès en toute liberté. </w:t>
      </w:r>
    </w:p>
    <w:p w:rsidR="008A41EA" w:rsidRPr="00726FA6" w:rsidRDefault="008A41EA" w:rsidP="00C9625D">
      <w:pPr>
        <w:numPr>
          <w:ilvl w:val="0"/>
          <w:numId w:val="19"/>
        </w:numPr>
      </w:pPr>
      <w:r w:rsidRPr="00726FA6">
        <w:t xml:space="preserve">Le perpétuel manque d’accessibilité des bâtiments et leur aménagement </w:t>
      </w:r>
      <w:r w:rsidR="00653410">
        <w:t xml:space="preserve">inadapté </w:t>
      </w:r>
      <w:r w:rsidRPr="00726FA6">
        <w:t>crée</w:t>
      </w:r>
      <w:r w:rsidR="00653410">
        <w:t>nt</w:t>
      </w:r>
      <w:r w:rsidRPr="00726FA6">
        <w:t xml:space="preserve"> de la frustration. </w:t>
      </w:r>
    </w:p>
    <w:p w:rsidR="0053680F" w:rsidRDefault="009F0C61" w:rsidP="009B342A">
      <w:pPr>
        <w:pStyle w:val="Heading2"/>
      </w:pPr>
      <w:bookmarkStart w:id="26" w:name="_Toc23781687"/>
      <w:r>
        <w:lastRenderedPageBreak/>
        <w:t xml:space="preserve">Situations de discrimination et </w:t>
      </w:r>
      <w:r w:rsidR="00EB7A64">
        <w:t>atteinte à l’</w:t>
      </w:r>
      <w:r>
        <w:t>exercice des droits</w:t>
      </w:r>
      <w:bookmarkEnd w:id="26"/>
    </w:p>
    <w:p w:rsidR="00760A6E" w:rsidRDefault="00760A6E" w:rsidP="00987F89">
      <w:pPr>
        <w:pStyle w:val="Heading3"/>
      </w:pPr>
      <w:r>
        <w:t>Droit à la sûreté, à l’intégrité et à la liberté</w:t>
      </w:r>
    </w:p>
    <w:p w:rsidR="00760A6E" w:rsidRPr="00726FA6" w:rsidRDefault="00760A6E" w:rsidP="00C9625D">
      <w:pPr>
        <w:numPr>
          <w:ilvl w:val="0"/>
          <w:numId w:val="20"/>
        </w:numPr>
      </w:pPr>
      <w:r w:rsidRPr="00726FA6">
        <w:t xml:space="preserve">Marie, qui se déplace </w:t>
      </w:r>
      <w:r w:rsidR="005B597F">
        <w:t>en</w:t>
      </w:r>
      <w:r w:rsidRPr="00726FA6">
        <w:t xml:space="preserve"> fauteuil motorisé, se rend à un rendez-vous, au </w:t>
      </w:r>
      <w:r w:rsidR="00244BE3" w:rsidRPr="00726FA6">
        <w:t>12</w:t>
      </w:r>
      <w:r w:rsidRPr="00726FA6">
        <w:t>e étage d’un bâtiment administratif de la Ville de Montréal, en fin d’après-midi. Alors que son rendez-vous s’achève, une panne d’électricité survient, rendant les ascenseurs inu</w:t>
      </w:r>
      <w:r w:rsidR="005B597F">
        <w:t xml:space="preserve">tilisables. </w:t>
      </w:r>
      <w:r w:rsidR="005B597F">
        <w:br/>
        <w:t>Après vérification</w:t>
      </w:r>
      <w:r w:rsidRPr="00726FA6">
        <w:t>, il s’avère que la durée de la panne d’électricité est indéterminée, et que la clé qui permet aux pompiers de contrôler l’ascenseur utilisé pour évacuer les personnes à mobilité réduite en cas d’urgence est introuvable, le responsable des mesures de sécurité de l’immeuble étant déjà parti. Marie décide de contacter le 911 pour recevoir l’aide nécessaire pour redescendre. Cependant, ni la police, ni les pompiers ne veulent intervenir, car il ne s’agit pas d’une situation d’urgence, ce problème ne relève donc pas de leur responsabilité. Marie doit attendre sur place que l’électricité revienne, quitte à y passer la nuit. Le</w:t>
      </w:r>
      <w:r w:rsidR="005B597F">
        <w:t>s pompiers informent toutefois M</w:t>
      </w:r>
      <w:r w:rsidRPr="00726FA6">
        <w:t>arie que si elle fait une crise d’angoisse, ils viendront la chercher et la conduiront à l’</w:t>
      </w:r>
      <w:r w:rsidR="0065243A" w:rsidRPr="00726FA6">
        <w:t>hôpital</w:t>
      </w:r>
      <w:r w:rsidRPr="00726FA6">
        <w:t xml:space="preserve">, puisqu’il s’agira alors d’une situation d’urgence. </w:t>
      </w:r>
      <w:r w:rsidRPr="00726FA6">
        <w:br/>
        <w:t>Un plan d’intervention exhaustif, connu de tous les employés, et des communications claires et efficaces avec tous les occupants de l’immeuble, y compris avec les visiteurs, aurai</w:t>
      </w:r>
      <w:r w:rsidR="005B597F">
        <w:t>en</w:t>
      </w:r>
      <w:r w:rsidRPr="00726FA6">
        <w:t xml:space="preserve">t permis d’accroître la sécurité de tous, y compris des personnes à mobilité réduite, en cas d’urgence ou lors de situations imprévues, et ainsi, de ne pas compromettre le droit à la sûreté et à l’intégrité de Marie. </w:t>
      </w:r>
    </w:p>
    <w:p w:rsidR="00725729" w:rsidRPr="00726FA6" w:rsidRDefault="00725729" w:rsidP="00C9625D">
      <w:pPr>
        <w:numPr>
          <w:ilvl w:val="0"/>
          <w:numId w:val="20"/>
        </w:numPr>
      </w:pPr>
      <w:r w:rsidRPr="00726FA6">
        <w:t>Julian</w:t>
      </w:r>
      <w:r w:rsidR="001364DB">
        <w:t> :</w:t>
      </w:r>
      <w:r w:rsidRPr="00726FA6">
        <w:t xml:space="preserve"> « Une fois, je me suis retrouvé coincé dans un ascenseur […]. Le seul moyen </w:t>
      </w:r>
      <w:r w:rsidR="002003B4" w:rsidRPr="00726FA6">
        <w:t xml:space="preserve">d’obtenir de l’aide </w:t>
      </w:r>
      <w:r w:rsidRPr="00726FA6">
        <w:t xml:space="preserve">était </w:t>
      </w:r>
      <w:r w:rsidR="00E77E90" w:rsidRPr="00726FA6">
        <w:t xml:space="preserve">d’appuyer sur un bouton qui établit </w:t>
      </w:r>
      <w:r w:rsidR="007F0A91" w:rsidRPr="00726FA6">
        <w:t xml:space="preserve">une liaison </w:t>
      </w:r>
      <w:r w:rsidR="002003B4" w:rsidRPr="00726FA6">
        <w:t xml:space="preserve">téléphonique avec le service responsable de la maintenance […], mais comme je suis sourd, je ne savais pas si quelqu’un m’avait répondu […]. » </w:t>
      </w:r>
      <w:r w:rsidR="007F0A91" w:rsidRPr="00726FA6">
        <w:br/>
      </w:r>
      <w:r w:rsidR="00723E3A" w:rsidRPr="00726FA6">
        <w:t xml:space="preserve">Une indication </w:t>
      </w:r>
      <w:r w:rsidR="007F0A91" w:rsidRPr="00726FA6">
        <w:t>visuelle (ex.</w:t>
      </w:r>
      <w:r w:rsidR="001364DB">
        <w:t> :</w:t>
      </w:r>
      <w:r w:rsidR="007F0A91" w:rsidRPr="00726FA6">
        <w:t xml:space="preserve"> écran vidéo) ou un numéro d’urgence joignable par texto aurait permis à Julian d’entrer plus facilement en communication avec le service technique, et de lui éviter </w:t>
      </w:r>
      <w:r w:rsidR="0052478B" w:rsidRPr="00726FA6">
        <w:t xml:space="preserve">de vivre une situation de stress. </w:t>
      </w:r>
    </w:p>
    <w:p w:rsidR="00DD4F1B" w:rsidRPr="00DD4F1B" w:rsidRDefault="00DD4F1B" w:rsidP="00DD4F1B">
      <w:pPr>
        <w:pStyle w:val="Heading3"/>
      </w:pPr>
      <w:r>
        <w:t>Droit à la dignité</w:t>
      </w:r>
    </w:p>
    <w:p w:rsidR="00760A6E" w:rsidRPr="00726FA6" w:rsidRDefault="00244BE3" w:rsidP="00C9625D">
      <w:pPr>
        <w:numPr>
          <w:ilvl w:val="0"/>
          <w:numId w:val="21"/>
        </w:numPr>
      </w:pPr>
      <w:r w:rsidRPr="00726FA6">
        <w:t>En soirée, Michael</w:t>
      </w:r>
      <w:r w:rsidR="00194990" w:rsidRPr="00726FA6">
        <w:t xml:space="preserve">, </w:t>
      </w:r>
      <w:r w:rsidR="005E143F" w:rsidRPr="00726FA6">
        <w:t>qui</w:t>
      </w:r>
      <w:r w:rsidR="00653410">
        <w:t xml:space="preserve"> utilise une aide à la mobilité</w:t>
      </w:r>
      <w:r w:rsidR="005E143F" w:rsidRPr="00726FA6">
        <w:t xml:space="preserve"> et dont la </w:t>
      </w:r>
      <w:r w:rsidR="00194990" w:rsidRPr="00726FA6">
        <w:t>santé ne lui permet pas de</w:t>
      </w:r>
      <w:r w:rsidR="005E143F" w:rsidRPr="00726FA6">
        <w:t xml:space="preserve"> monter ou de descendre des </w:t>
      </w:r>
      <w:r w:rsidR="0065243A" w:rsidRPr="00726FA6">
        <w:t>escaliers, assiste</w:t>
      </w:r>
      <w:r w:rsidRPr="00726FA6">
        <w:t xml:space="preserve"> à un match de </w:t>
      </w:r>
      <w:r w:rsidR="00194990" w:rsidRPr="00726FA6">
        <w:t>hockey</w:t>
      </w:r>
      <w:r w:rsidRPr="00726FA6">
        <w:t xml:space="preserve"> dans une aréna. </w:t>
      </w:r>
      <w:r w:rsidR="005E143F" w:rsidRPr="00726FA6">
        <w:t xml:space="preserve">À son arrivée, </w:t>
      </w:r>
      <w:r w:rsidR="0006399C" w:rsidRPr="00726FA6">
        <w:t xml:space="preserve">un membre du personnel </w:t>
      </w:r>
      <w:r w:rsidR="005E143F" w:rsidRPr="00726FA6">
        <w:t xml:space="preserve">d’accueil l’accompagne à sa place, </w:t>
      </w:r>
      <w:r w:rsidR="00B60FE4" w:rsidRPr="00726FA6">
        <w:t xml:space="preserve">tout en haut des gradins, </w:t>
      </w:r>
      <w:r w:rsidR="005E143F" w:rsidRPr="00726FA6">
        <w:t xml:space="preserve">en empruntant </w:t>
      </w:r>
      <w:r w:rsidR="0006399C" w:rsidRPr="00726FA6">
        <w:t>l’</w:t>
      </w:r>
      <w:r w:rsidR="005F0247" w:rsidRPr="00726FA6">
        <w:t xml:space="preserve">ascenseur réservé </w:t>
      </w:r>
      <w:r w:rsidR="00F82C62" w:rsidRPr="00726FA6">
        <w:t xml:space="preserve">au personnel et aux </w:t>
      </w:r>
      <w:r w:rsidR="005F0247" w:rsidRPr="00726FA6">
        <w:t xml:space="preserve">personnes à mobilité réduite. </w:t>
      </w:r>
      <w:r w:rsidR="00863261" w:rsidRPr="00726FA6">
        <w:t xml:space="preserve">À la fin du match, au moment de </w:t>
      </w:r>
      <w:r w:rsidR="00863261" w:rsidRPr="00726FA6">
        <w:lastRenderedPageBreak/>
        <w:t>sortir pour rejoindre son</w:t>
      </w:r>
      <w:r w:rsidR="005F0247" w:rsidRPr="00726FA6">
        <w:t xml:space="preserve"> transport adapté</w:t>
      </w:r>
      <w:r w:rsidR="00863261" w:rsidRPr="00726FA6">
        <w:t xml:space="preserve">, Michael s’aperçoit </w:t>
      </w:r>
      <w:r w:rsidR="005F0247" w:rsidRPr="00726FA6">
        <w:t xml:space="preserve">que l’ascenseur est verrouillé, </w:t>
      </w:r>
      <w:r w:rsidR="00863261" w:rsidRPr="00726FA6">
        <w:t xml:space="preserve">et qu’il ne peut donc pas </w:t>
      </w:r>
      <w:r w:rsidR="00B60FE4" w:rsidRPr="00726FA6">
        <w:t>re</w:t>
      </w:r>
      <w:r w:rsidR="00863261" w:rsidRPr="00726FA6">
        <w:t xml:space="preserve">descendre des gradins. </w:t>
      </w:r>
      <w:r w:rsidR="00B60FE4" w:rsidRPr="00726FA6">
        <w:t xml:space="preserve">Heureusement, Michael n’est pas seul, plusieurs spectateurs sont encore présents à proximité, et partent à la recherche </w:t>
      </w:r>
      <w:r w:rsidR="005F0247" w:rsidRPr="00726FA6">
        <w:t xml:space="preserve">d’un membre du personnel. </w:t>
      </w:r>
      <w:r w:rsidR="00B60FE4" w:rsidRPr="00726FA6">
        <w:t>Malheureusement, le responsable de la clé</w:t>
      </w:r>
      <w:r w:rsidR="005F0247" w:rsidRPr="00726FA6">
        <w:t xml:space="preserve"> de l’ascenseur</w:t>
      </w:r>
      <w:r w:rsidR="00B60FE4" w:rsidRPr="00726FA6">
        <w:t xml:space="preserve">, qui a terminé </w:t>
      </w:r>
      <w:r w:rsidR="00F82C62" w:rsidRPr="00726FA6">
        <w:t xml:space="preserve">sa </w:t>
      </w:r>
      <w:r w:rsidR="00B60FE4" w:rsidRPr="00726FA6">
        <w:t>journée de travail, est déjà repart</w:t>
      </w:r>
      <w:r w:rsidR="0006399C" w:rsidRPr="00726FA6">
        <w:t xml:space="preserve">i, </w:t>
      </w:r>
      <w:r w:rsidR="00F82C62" w:rsidRPr="00726FA6">
        <w:t xml:space="preserve">ladite </w:t>
      </w:r>
      <w:r w:rsidR="0006399C" w:rsidRPr="00726FA6">
        <w:t xml:space="preserve">journée de travail </w:t>
      </w:r>
      <w:r w:rsidR="00D57B9D">
        <w:t xml:space="preserve">ayant pris </w:t>
      </w:r>
      <w:r w:rsidR="0006399C" w:rsidRPr="00726FA6">
        <w:t xml:space="preserve">fin </w:t>
      </w:r>
      <w:r w:rsidR="00AF726E" w:rsidRPr="00726FA6">
        <w:t xml:space="preserve">avant la </w:t>
      </w:r>
      <w:r w:rsidR="00F82C62" w:rsidRPr="00726FA6">
        <w:t xml:space="preserve">clôture </w:t>
      </w:r>
      <w:r w:rsidR="00AF726E" w:rsidRPr="00726FA6">
        <w:t>du match</w:t>
      </w:r>
      <w:r w:rsidR="0006399C" w:rsidRPr="00726FA6">
        <w:t xml:space="preserve">. </w:t>
      </w:r>
      <w:r w:rsidR="00903DD5" w:rsidRPr="00726FA6">
        <w:t xml:space="preserve">Michael n’a </w:t>
      </w:r>
      <w:r w:rsidR="0052478B" w:rsidRPr="00726FA6">
        <w:t xml:space="preserve">alors </w:t>
      </w:r>
      <w:r w:rsidR="00903DD5" w:rsidRPr="00726FA6">
        <w:t xml:space="preserve">d’autre </w:t>
      </w:r>
      <w:r w:rsidR="0017217D" w:rsidRPr="00726FA6">
        <w:t xml:space="preserve">choix </w:t>
      </w:r>
      <w:r w:rsidR="005B597F">
        <w:t>que d’accepter</w:t>
      </w:r>
      <w:r w:rsidR="00903DD5" w:rsidRPr="00726FA6">
        <w:t xml:space="preserve"> d’être porté par des inconnus</w:t>
      </w:r>
      <w:r w:rsidR="00381C48" w:rsidRPr="00726FA6">
        <w:t xml:space="preserve"> pour descendre les escaliers et sortir de l’aréna, ce qui constitue une atteinte à son intégrité et à sa dignité. </w:t>
      </w:r>
      <w:r w:rsidR="00381C48" w:rsidRPr="00726FA6">
        <w:br/>
        <w:t xml:space="preserve">Une gestion cohérente de l’aréna, </w:t>
      </w:r>
      <w:r w:rsidR="0052478B" w:rsidRPr="00726FA6">
        <w:t xml:space="preserve">assurant </w:t>
      </w:r>
      <w:r w:rsidR="0017217D" w:rsidRPr="00726FA6">
        <w:t xml:space="preserve">l’ouverture et la fermeture simultanées de l’entrée principale et </w:t>
      </w:r>
      <w:r w:rsidR="00F82C62" w:rsidRPr="00726FA6">
        <w:t xml:space="preserve">de l’ascenseur </w:t>
      </w:r>
      <w:r w:rsidR="0017217D" w:rsidRPr="00726FA6">
        <w:t xml:space="preserve">réservé </w:t>
      </w:r>
      <w:r w:rsidR="00F82C62" w:rsidRPr="00726FA6">
        <w:t xml:space="preserve">au personnel et </w:t>
      </w:r>
      <w:r w:rsidR="0017217D" w:rsidRPr="00726FA6">
        <w:t>aux personnes à mobilité réduite</w:t>
      </w:r>
      <w:r w:rsidR="003446A1" w:rsidRPr="00726FA6">
        <w:t>,</w:t>
      </w:r>
      <w:r w:rsidR="005B597F">
        <w:t xml:space="preserve"> aurait évité</w:t>
      </w:r>
      <w:r w:rsidR="0017217D" w:rsidRPr="00726FA6">
        <w:t xml:space="preserve"> à Michael de devoir être porté par des inconnus pour quitter l’aréna, et ainsi, </w:t>
      </w:r>
      <w:r w:rsidR="005B597F">
        <w:t>aurait garanti</w:t>
      </w:r>
      <w:r w:rsidR="0017217D" w:rsidRPr="00726FA6">
        <w:t xml:space="preserve"> son droit à l’intégrité et à la dignité. </w:t>
      </w:r>
    </w:p>
    <w:p w:rsidR="00760A6E" w:rsidRPr="00726FA6" w:rsidRDefault="00DD4F1B" w:rsidP="00C9625D">
      <w:pPr>
        <w:numPr>
          <w:ilvl w:val="0"/>
          <w:numId w:val="21"/>
        </w:numPr>
      </w:pPr>
      <w:r w:rsidRPr="00726FA6">
        <w:t xml:space="preserve">Maya, qui se déplace en fauteuil motorisé, se rend à une rencontre dans un édifice à bureaux de la Ville. </w:t>
      </w:r>
      <w:r w:rsidR="00226C79" w:rsidRPr="00726FA6">
        <w:t xml:space="preserve">Au moment d’aller à la salle de bain, Maya s’aperçoit que la </w:t>
      </w:r>
      <w:r w:rsidR="006B55AB" w:rsidRPr="00726FA6">
        <w:t xml:space="preserve">cabine de </w:t>
      </w:r>
      <w:r w:rsidR="00226C79" w:rsidRPr="00726FA6">
        <w:t xml:space="preserve">toilette « accessible » est trop petite pour </w:t>
      </w:r>
      <w:r w:rsidR="00270447" w:rsidRPr="00726FA6">
        <w:t xml:space="preserve">que la porte puisse en être refermée une fois son fauteuil </w:t>
      </w:r>
      <w:r w:rsidR="0052478B" w:rsidRPr="00726FA6">
        <w:t xml:space="preserve">placé </w:t>
      </w:r>
      <w:r w:rsidR="00270447" w:rsidRPr="00726FA6">
        <w:t xml:space="preserve">à l’intérieur. </w:t>
      </w:r>
      <w:r w:rsidR="00270447" w:rsidRPr="00726FA6">
        <w:br/>
        <w:t xml:space="preserve">Le respect des normes d’aménagement de toilettes accessibles aurait </w:t>
      </w:r>
      <w:r w:rsidR="006B55AB" w:rsidRPr="00726FA6">
        <w:t xml:space="preserve">évité </w:t>
      </w:r>
      <w:r w:rsidR="00270447" w:rsidRPr="00726FA6">
        <w:t xml:space="preserve">à Maya de </w:t>
      </w:r>
      <w:r w:rsidR="006B55AB" w:rsidRPr="00726FA6">
        <w:t xml:space="preserve">devoir laisser </w:t>
      </w:r>
      <w:r w:rsidR="00270447" w:rsidRPr="00726FA6">
        <w:t>la porte de la cabine de toilette</w:t>
      </w:r>
      <w:r w:rsidR="006B55AB" w:rsidRPr="00726FA6">
        <w:t xml:space="preserve"> ouverte</w:t>
      </w:r>
      <w:r w:rsidR="00270447" w:rsidRPr="00726FA6">
        <w:t xml:space="preserve">, </w:t>
      </w:r>
      <w:r w:rsidR="006B55AB" w:rsidRPr="00726FA6">
        <w:t xml:space="preserve">ce qui constitue une atteinte grave </w:t>
      </w:r>
      <w:r w:rsidR="00DD0039" w:rsidRPr="00726FA6">
        <w:t xml:space="preserve">au droit à la </w:t>
      </w:r>
      <w:r w:rsidR="006B55AB" w:rsidRPr="00726FA6">
        <w:t xml:space="preserve">dignité. </w:t>
      </w:r>
    </w:p>
    <w:p w:rsidR="00CE186C" w:rsidRDefault="00CE186C" w:rsidP="008F3101">
      <w:pPr>
        <w:pStyle w:val="Heading1"/>
      </w:pPr>
      <w:bookmarkStart w:id="27" w:name="_Toc23781688"/>
      <w:r>
        <w:t>Sports et loisirs</w:t>
      </w:r>
      <w:bookmarkEnd w:id="27"/>
    </w:p>
    <w:p w:rsidR="009B342A" w:rsidRDefault="009B342A" w:rsidP="009B342A">
      <w:pPr>
        <w:pStyle w:val="Heading2"/>
      </w:pPr>
      <w:bookmarkStart w:id="28" w:name="_Toc23781689"/>
      <w:r>
        <w:t>Constats</w:t>
      </w:r>
      <w:bookmarkEnd w:id="28"/>
    </w:p>
    <w:p w:rsidR="00CF32D3" w:rsidRDefault="009B342A" w:rsidP="008F5985">
      <w:r w:rsidRPr="00735A8D">
        <w:t>Comme nous l’avons vu précédemment, de nombreuses personnes ayant des limitations fonctionnelles sont privées</w:t>
      </w:r>
      <w:r w:rsidR="006938A7">
        <w:t>,</w:t>
      </w:r>
      <w:r w:rsidRPr="00735A8D">
        <w:t xml:space="preserve"> en tout ou en partie</w:t>
      </w:r>
      <w:r w:rsidR="006938A7">
        <w:t>,</w:t>
      </w:r>
      <w:r w:rsidRPr="00735A8D">
        <w:t xml:space="preserve"> de plusieurs droits protégés par la Charte, en raison de leur handicap ou </w:t>
      </w:r>
      <w:r w:rsidR="004A5FA9">
        <w:t xml:space="preserve">de l’utilisation d’un </w:t>
      </w:r>
      <w:r w:rsidRPr="00735A8D">
        <w:t>moyen pour pallier ce handicap</w:t>
      </w:r>
      <w:r w:rsidR="00D57B9D">
        <w:t xml:space="preserve">, ce qui </w:t>
      </w:r>
      <w:r w:rsidRPr="00735A8D">
        <w:t xml:space="preserve">a </w:t>
      </w:r>
      <w:r w:rsidR="006938A7">
        <w:t>non seulement des conséquences po</w:t>
      </w:r>
      <w:r w:rsidRPr="00735A8D">
        <w:t>ur</w:t>
      </w:r>
      <w:r w:rsidR="006938A7">
        <w:t xml:space="preserve"> </w:t>
      </w:r>
      <w:r w:rsidR="003751B6">
        <w:t>elles</w:t>
      </w:r>
      <w:r w:rsidR="006938A7">
        <w:t>, mais également po</w:t>
      </w:r>
      <w:r w:rsidRPr="00735A8D">
        <w:t xml:space="preserve">ur leur famille. </w:t>
      </w:r>
    </w:p>
    <w:p w:rsidR="009B342A" w:rsidRPr="00735A8D" w:rsidRDefault="009B342A" w:rsidP="008F5985">
      <w:r w:rsidRPr="00735A8D">
        <w:t xml:space="preserve">Par exemple, un grand nombre de parcs sont difficilement accessibles aux personnes qui se déplacent en fauteuil et aux personnes aveugles. En outre, la majorité des voies asphaltées ne se rendent pas jusqu’aux aires de jeu pour les enfants, et très peu d’aires de jeu sont universellement accessibles. De ce fait, les parents aveugles et ceux qui utilisent des aides à la mobilité sont souvent lésés de la possibilité d’accompagner leurs enfants dans ces aires de jeu, ce qui a notamment pour effet de </w:t>
      </w:r>
      <w:r w:rsidR="006938A7">
        <w:t xml:space="preserve">les </w:t>
      </w:r>
      <w:r w:rsidRPr="00735A8D">
        <w:t xml:space="preserve">priver d’exercer une </w:t>
      </w:r>
      <w:r w:rsidRPr="00735A8D">
        <w:lastRenderedPageBreak/>
        <w:t xml:space="preserve">partie de leur rôle parental, mais également de priver les enfants du droit à la protection et à l’attention de leurs parents. </w:t>
      </w:r>
    </w:p>
    <w:p w:rsidR="009B342A" w:rsidRPr="009B342A" w:rsidRDefault="009B342A" w:rsidP="009B342A">
      <w:pPr>
        <w:pStyle w:val="Heading2"/>
        <w:rPr>
          <w:lang w:val="fr-CA"/>
        </w:rPr>
      </w:pPr>
      <w:bookmarkStart w:id="29" w:name="_Toc23781690"/>
      <w:r>
        <w:rPr>
          <w:lang w:val="fr-CA"/>
        </w:rPr>
        <w:t xml:space="preserve">Situations de discrimination et </w:t>
      </w:r>
      <w:r w:rsidR="00EB7A64">
        <w:rPr>
          <w:lang w:val="fr-CA"/>
        </w:rPr>
        <w:t>atteinte à l’</w:t>
      </w:r>
      <w:r>
        <w:rPr>
          <w:lang w:val="fr-CA"/>
        </w:rPr>
        <w:t>exercice des droits</w:t>
      </w:r>
      <w:bookmarkEnd w:id="29"/>
    </w:p>
    <w:p w:rsidR="00CE186C" w:rsidRPr="00EB024B" w:rsidRDefault="00CE186C" w:rsidP="00987F89">
      <w:pPr>
        <w:pStyle w:val="Heading3"/>
      </w:pPr>
      <w:r w:rsidRPr="00EB024B">
        <w:t>Droit des enfants à la protection, à la sécurité et à l’attention de leurs parents</w:t>
      </w:r>
    </w:p>
    <w:p w:rsidR="00CE186C" w:rsidRPr="00D57B9D" w:rsidRDefault="003751B6" w:rsidP="00C9625D">
      <w:pPr>
        <w:numPr>
          <w:ilvl w:val="0"/>
          <w:numId w:val="22"/>
        </w:numPr>
      </w:pPr>
      <w:r>
        <w:t>Andrew</w:t>
      </w:r>
      <w:r w:rsidR="001364DB">
        <w:t> :</w:t>
      </w:r>
      <w:r>
        <w:t xml:space="preserve"> </w:t>
      </w:r>
      <w:r w:rsidR="00CE186C" w:rsidRPr="00D57B9D">
        <w:t>« […] comme je suis aveugle et qu’il n’y a pas de repères dans le parc, il est dangereux pour moi de m’approcher des balançoires. […] mes enfants sont obligés de prendre soin de moi, [...] c’est comme si c’était eux qui devenaient responsables de moi […]. »</w:t>
      </w:r>
    </w:p>
    <w:p w:rsidR="00CE186C" w:rsidRPr="00D57B9D" w:rsidRDefault="003751B6" w:rsidP="00C9625D">
      <w:pPr>
        <w:numPr>
          <w:ilvl w:val="0"/>
          <w:numId w:val="22"/>
        </w:numPr>
      </w:pPr>
      <w:r>
        <w:t>Amine</w:t>
      </w:r>
      <w:r w:rsidR="001364DB">
        <w:t> :</w:t>
      </w:r>
      <w:r>
        <w:t xml:space="preserve"> </w:t>
      </w:r>
      <w:r w:rsidR="00CE186C" w:rsidRPr="00D57B9D">
        <w:t xml:space="preserve">« Le mauvais aménagement des parcs décourage les sorties avec mes enfants, surtout quand il pleut, car mes roues restent coincées dans la boue. Ceci me crée beaucoup de stress, […] ça a aussi des conséquences sur les enfants, [...] je ne peux pas les accompagner et les surveiller dans les aires de jeu. » </w:t>
      </w:r>
    </w:p>
    <w:p w:rsidR="00CF32D3" w:rsidRDefault="00CF32D3" w:rsidP="00CF32D3">
      <w:pPr>
        <w:pStyle w:val="Heading3"/>
      </w:pPr>
      <w:r>
        <w:t>Droit à l’égalité</w:t>
      </w:r>
    </w:p>
    <w:p w:rsidR="00CF32D3" w:rsidRPr="00D57B9D" w:rsidRDefault="00CF32D3" w:rsidP="00C9625D">
      <w:pPr>
        <w:numPr>
          <w:ilvl w:val="0"/>
          <w:numId w:val="23"/>
        </w:numPr>
      </w:pPr>
      <w:r w:rsidRPr="00D57B9D">
        <w:t>Juliette</w:t>
      </w:r>
      <w:r w:rsidR="001364DB">
        <w:t> :</w:t>
      </w:r>
      <w:r w:rsidRPr="00D57B9D">
        <w:t xml:space="preserve"> « </w:t>
      </w:r>
      <w:r w:rsidR="002659DB">
        <w:t>[Dans les salles de spectacle] l</w:t>
      </w:r>
      <w:r w:rsidRPr="00D57B9D">
        <w:t>es places pour personnes handicapées sont toutes situées au même endroit, et il n’y a pas de places régulières à côté. Mon mari et moi avons renoncé à sortir voir des spectacles, puisque nous étions toujours séparés, alors que les autres couples peuvent rester ensemble. »</w:t>
      </w:r>
    </w:p>
    <w:p w:rsidR="003C79C2" w:rsidRPr="00D57B9D" w:rsidRDefault="003C79C2" w:rsidP="00C9625D">
      <w:pPr>
        <w:numPr>
          <w:ilvl w:val="0"/>
          <w:numId w:val="23"/>
        </w:numPr>
      </w:pPr>
      <w:r w:rsidRPr="00D57B9D">
        <w:t>Élisabeth</w:t>
      </w:r>
      <w:r w:rsidR="001364DB">
        <w:t> :</w:t>
      </w:r>
      <w:r w:rsidRPr="00D57B9D">
        <w:t xml:space="preserve"> « […] la visite guidée était comprise dans le coût de l’entrée. […] </w:t>
      </w:r>
      <w:r w:rsidR="00B41BC4" w:rsidRPr="00D57B9D">
        <w:t xml:space="preserve">mais </w:t>
      </w:r>
      <w:r w:rsidRPr="00D57B9D">
        <w:t xml:space="preserve">comme il n’y avait pas </w:t>
      </w:r>
      <w:r w:rsidR="00B41BC4" w:rsidRPr="00D57B9D">
        <w:t xml:space="preserve">d’adaptation prévue, </w:t>
      </w:r>
      <w:r w:rsidR="003751B6">
        <w:t>ni capsule ni</w:t>
      </w:r>
      <w:r w:rsidR="00B41BC4" w:rsidRPr="00D57B9D">
        <w:t xml:space="preserve"> </w:t>
      </w:r>
      <w:r w:rsidRPr="00D57B9D">
        <w:t>interprète LSQ</w:t>
      </w:r>
      <w:r w:rsidR="00B41BC4" w:rsidRPr="00D57B9D">
        <w:t>, j’ai payé le plein prix et je n’en ai pas profité</w:t>
      </w:r>
      <w:r w:rsidR="003751B6">
        <w:t xml:space="preserve"> autant</w:t>
      </w:r>
      <w:r w:rsidR="00B41BC4" w:rsidRPr="00D57B9D">
        <w:t xml:space="preserve">. » </w:t>
      </w:r>
    </w:p>
    <w:p w:rsidR="00160D7B" w:rsidRDefault="00160D7B" w:rsidP="008F3101">
      <w:pPr>
        <w:pStyle w:val="Heading1"/>
      </w:pPr>
      <w:bookmarkStart w:id="30" w:name="_Toc23781691"/>
      <w:r>
        <w:t>Communications et accès à l’information</w:t>
      </w:r>
      <w:bookmarkEnd w:id="30"/>
    </w:p>
    <w:p w:rsidR="0053680F" w:rsidRPr="003751B6" w:rsidRDefault="0053680F" w:rsidP="00BC0A5B">
      <w:pPr>
        <w:pStyle w:val="Heading2"/>
      </w:pPr>
      <w:bookmarkStart w:id="31" w:name="_Toc23781692"/>
      <w:r w:rsidRPr="003751B6">
        <w:t>Constats</w:t>
      </w:r>
      <w:bookmarkEnd w:id="31"/>
    </w:p>
    <w:p w:rsidR="000D7030" w:rsidRDefault="000D7030" w:rsidP="000D7030">
      <w:r>
        <w:t xml:space="preserve">Quel que soit le type de service recherché, la capacité d’accéder à l’information est un facteur essentiel à la possibilité, pour tout citoyen, de se prévaloir des services municipaux disponibles. </w:t>
      </w:r>
    </w:p>
    <w:p w:rsidR="000D7030" w:rsidRPr="000D7030" w:rsidRDefault="000D7030" w:rsidP="000D7030">
      <w:r>
        <w:t>P</w:t>
      </w:r>
      <w:r w:rsidRPr="000D7030">
        <w:t>our améliorer ses services aux citoyens, la Ville s’efforce, depuis plusieurs années, de développer sa présence numérique et ainsi, d’offrir plus de services en ligne aux citoyens montréalais. Ces services en ligne peuvent être de nature transactionnelle (ex.</w:t>
      </w:r>
      <w:r w:rsidR="001364DB">
        <w:t> :</w:t>
      </w:r>
      <w:r w:rsidRPr="000D7030">
        <w:t xml:space="preserve"> rapport de police, paiement et contestation de constats d’infraction à la cour </w:t>
      </w:r>
      <w:r w:rsidRPr="000D7030">
        <w:lastRenderedPageBreak/>
        <w:t>municipale, réservation et renouvellement d’emprunt de documents dans le réseau des bibliothèques, inscription aux activités de sports et de loisirs, etc.) ou informationnelle (ex.</w:t>
      </w:r>
      <w:r w:rsidR="001364DB">
        <w:t> :</w:t>
      </w:r>
      <w:r w:rsidRPr="000D7030">
        <w:t xml:space="preserve"> info-travaux, info-neige, info-collectes, etc.). </w:t>
      </w:r>
    </w:p>
    <w:p w:rsidR="000D7030" w:rsidRPr="000D7030" w:rsidRDefault="000D7030" w:rsidP="000D7030">
      <w:r w:rsidRPr="000D7030">
        <w:t>Si certains services en ligne (ex.</w:t>
      </w:r>
      <w:r w:rsidR="001364DB">
        <w:t> :</w:t>
      </w:r>
      <w:r w:rsidRPr="000D7030">
        <w:t xml:space="preserve"> rapport de police) peuvent être satisfaisants pour des citoyens qui craignent de rencontrer des difficultés relationnelles ou communicationnelles avec </w:t>
      </w:r>
      <w:r w:rsidR="00D00A8B">
        <w:t xml:space="preserve">les </w:t>
      </w:r>
      <w:r w:rsidRPr="000D7030">
        <w:t xml:space="preserve">employés municipaux, ces services ne peuvent en aucun cas </w:t>
      </w:r>
      <w:r w:rsidRPr="000361B7">
        <w:t>répondre aux besoins de tous, notamment</w:t>
      </w:r>
      <w:r w:rsidR="003751B6">
        <w:t xml:space="preserve"> </w:t>
      </w:r>
      <w:r w:rsidR="0061367C">
        <w:t xml:space="preserve">à ceux de certaines </w:t>
      </w:r>
      <w:r w:rsidR="000361B7" w:rsidRPr="000361B7">
        <w:t xml:space="preserve">personnes aveugles, sourdes, ayant des troubles du langage </w:t>
      </w:r>
      <w:r w:rsidR="0061367C">
        <w:t xml:space="preserve">ou </w:t>
      </w:r>
      <w:r w:rsidR="000361B7" w:rsidRPr="000361B7">
        <w:t xml:space="preserve">de la dextérité, </w:t>
      </w:r>
      <w:r w:rsidR="003751B6">
        <w:t>etc</w:t>
      </w:r>
      <w:r w:rsidR="000361B7" w:rsidRPr="000361B7">
        <w:t>.</w:t>
      </w:r>
    </w:p>
    <w:p w:rsidR="000D7030" w:rsidRPr="000D7030" w:rsidRDefault="000D7030" w:rsidP="000D7030">
      <w:r>
        <w:t>De plus, l</w:t>
      </w:r>
      <w:r w:rsidRPr="000D7030">
        <w:t>es interactions entre les citoyens et les employés municipaux, en personne ou par téléphone, sont généralement requises lorsqu’il s’agit d’obtenir des services de la Ville, comme les services liés à la sécurité publique (service de police, service de sécurité incendie, 911, etc.), l’obtention de permis, ou encore la participation à des activités de sports et de loisirs (ex.</w:t>
      </w:r>
      <w:r w:rsidR="001364DB">
        <w:t> :</w:t>
      </w:r>
      <w:r w:rsidRPr="000D7030">
        <w:t xml:space="preserve"> aréna, piscines, bibliothèques, etc.). </w:t>
      </w:r>
    </w:p>
    <w:p w:rsidR="000D7030" w:rsidRDefault="00791822" w:rsidP="000D7030">
      <w:r>
        <w:t>Ainsi</w:t>
      </w:r>
      <w:r w:rsidR="000D7030">
        <w:t>, lorsqu’un contact direct avec un employé municipal est nécessaire, que ce soit en personne ou par téléphone, la possibilité de recevoir l’information ou le service souhaité, ainsi que la qualité de cette information ou de ce service, dépend</w:t>
      </w:r>
      <w:r w:rsidR="003751B6">
        <w:t>ent</w:t>
      </w:r>
      <w:r w:rsidR="000D7030">
        <w:t xml:space="preserve"> essentiellement de la qualité de la communication et de la relation entre l’employé municipal et le citoyen. </w:t>
      </w:r>
    </w:p>
    <w:p w:rsidR="000D7030" w:rsidRDefault="000D7030" w:rsidP="000D7030">
      <w:r>
        <w:t xml:space="preserve">Dès lors, la Ville a la responsabilité de s’assurer que toute personne, quelles que soient ses limitations fonctionnelles, sa langue ou </w:t>
      </w:r>
      <w:r w:rsidRPr="000361B7">
        <w:t>son niveau de compétence linguistique</w:t>
      </w:r>
      <w:r>
        <w:t xml:space="preserve"> (ex.</w:t>
      </w:r>
      <w:r w:rsidR="001364DB">
        <w:t> :</w:t>
      </w:r>
      <w:r>
        <w:t xml:space="preserve"> personnes ayant un trouble du langage, personnes sourdes, personnes ayant une déficience intellectuelle, etc.), puisse accéder à l’information ou obtenir le service dont elle a besoin, de la façon qui correspond à ses besoins et à ses capacités, et que toutes relations et communications entre un employé municipal et un citoyen soit exemptes de toutes formes de préjugés et de stéréotypes, et plus largement, de toutes formes de discrimination.</w:t>
      </w:r>
    </w:p>
    <w:p w:rsidR="001C41E4" w:rsidRDefault="001C41E4" w:rsidP="008F5985">
      <w:r>
        <w:t xml:space="preserve">Pourtant, pour un grand nombre de personnes ayant des limitations fonctionnelles, obtenir de l’information ou un service n’est généralement pas chose facile. </w:t>
      </w:r>
    </w:p>
    <w:p w:rsidR="001C41E4" w:rsidRDefault="003751B6" w:rsidP="008F5985">
      <w:r>
        <w:t>D’une part</w:t>
      </w:r>
      <w:r w:rsidR="001C41E4">
        <w:t>, l’accès à l’information, sous quelque forme que ce soit (ex.</w:t>
      </w:r>
      <w:r w:rsidR="001364DB">
        <w:t> :</w:t>
      </w:r>
      <w:r w:rsidR="001C41E4">
        <w:t xml:space="preserve"> verbale, écrite sur papier ou sur support électronique) constitue bien souvent un défi important pour de nombreuses personnes. En effet, si l’information n’est disponible </w:t>
      </w:r>
      <w:r w:rsidR="00177E73">
        <w:t xml:space="preserve">que d’une seule façon, </w:t>
      </w:r>
      <w:r w:rsidR="001C41E4">
        <w:t xml:space="preserve">qu’à un seul endroit ou </w:t>
      </w:r>
      <w:r>
        <w:t xml:space="preserve">que </w:t>
      </w:r>
      <w:r w:rsidR="001C41E4">
        <w:t xml:space="preserve">dans un seul format, elle deviendra </w:t>
      </w:r>
      <w:r w:rsidR="00177E73">
        <w:t>inévitablement</w:t>
      </w:r>
      <w:r>
        <w:t xml:space="preserve"> inaccessible à certain</w:t>
      </w:r>
      <w:r w:rsidR="001C41E4">
        <w:t xml:space="preserve">s, </w:t>
      </w:r>
      <w:r w:rsidR="00601080">
        <w:t xml:space="preserve">en fonction de </w:t>
      </w:r>
      <w:r w:rsidR="001C41E4">
        <w:t>leur</w:t>
      </w:r>
      <w:r>
        <w:t>s</w:t>
      </w:r>
      <w:r w:rsidR="001C41E4">
        <w:t xml:space="preserve"> limitation</w:t>
      </w:r>
      <w:r>
        <w:t>s</w:t>
      </w:r>
      <w:r w:rsidR="001C41E4">
        <w:t>. C’est notamment le cas pour les personnes ayant une déficience visuelle (ex.</w:t>
      </w:r>
      <w:r w:rsidR="001364DB">
        <w:t> :</w:t>
      </w:r>
      <w:r w:rsidR="001C41E4">
        <w:t xml:space="preserve"> site</w:t>
      </w:r>
      <w:r w:rsidR="00306908">
        <w:t>s</w:t>
      </w:r>
      <w:r w:rsidR="001C41E4">
        <w:t xml:space="preserve"> Web inutilisable</w:t>
      </w:r>
      <w:r w:rsidR="00306908">
        <w:t>s</w:t>
      </w:r>
      <w:r w:rsidR="001C41E4">
        <w:t xml:space="preserve"> avec une technologie d’assistance comme une synthèse vocale, documents disponibles sur papier uniquement, etc.), pour les personnes ayant une déficience auditive</w:t>
      </w:r>
      <w:r w:rsidR="00456074">
        <w:t xml:space="preserve"> (ex.</w:t>
      </w:r>
      <w:r w:rsidR="001364DB">
        <w:t> :</w:t>
      </w:r>
      <w:r w:rsidR="00456074">
        <w:t xml:space="preserve"> absence d’interprètes LSQ, niveau de </w:t>
      </w:r>
      <w:r>
        <w:t xml:space="preserve">littératie faible en </w:t>
      </w:r>
      <w:r w:rsidR="00456074">
        <w:t>français, etc.)</w:t>
      </w:r>
      <w:r w:rsidR="001C41E4">
        <w:t xml:space="preserve">, </w:t>
      </w:r>
      <w:r w:rsidR="00456074">
        <w:t xml:space="preserve">pour les </w:t>
      </w:r>
      <w:r w:rsidR="00456074">
        <w:lastRenderedPageBreak/>
        <w:t xml:space="preserve">personnes ayant </w:t>
      </w:r>
      <w:r w:rsidR="001C41E4">
        <w:t>un trouble développemental du langage</w:t>
      </w:r>
      <w:r w:rsidR="001C41E4">
        <w:rPr>
          <w:rStyle w:val="FootnoteReference"/>
        </w:rPr>
        <w:footnoteReference w:id="8"/>
      </w:r>
      <w:r w:rsidR="001C41E4">
        <w:t xml:space="preserve"> ou une déficience intellectuelle (ex.</w:t>
      </w:r>
      <w:r w:rsidR="001364DB">
        <w:t> :</w:t>
      </w:r>
      <w:r w:rsidR="001C41E4">
        <w:t xml:space="preserve"> </w:t>
      </w:r>
      <w:r w:rsidR="0064189C">
        <w:t xml:space="preserve">difficulté à s’exprimer et à se faire comprendre, </w:t>
      </w:r>
      <w:r w:rsidRPr="003751B6">
        <w:t>niveau de littératie faible en français</w:t>
      </w:r>
      <w:r w:rsidR="001C41E4">
        <w:t>, etc.), ou encore pour les personnes ayant des troubles de la dextérité (ex.</w:t>
      </w:r>
      <w:r w:rsidR="001364DB">
        <w:t> :</w:t>
      </w:r>
      <w:r w:rsidR="001C41E4">
        <w:t xml:space="preserve"> difficulté à utiliser une souris ou un pavé tactile</w:t>
      </w:r>
      <w:r w:rsidR="00E02F2D">
        <w:t xml:space="preserve"> pour aller chercher de l’information en ligne</w:t>
      </w:r>
      <w:r w:rsidR="001C41E4">
        <w:t xml:space="preserve">, etc.). </w:t>
      </w:r>
    </w:p>
    <w:p w:rsidR="006A24D5" w:rsidRPr="00E03F8E" w:rsidRDefault="006A24D5" w:rsidP="00E03F8E">
      <w:r w:rsidRPr="00E03F8E">
        <w:t xml:space="preserve">D’autre part, </w:t>
      </w:r>
      <w:r w:rsidR="008C7FA4" w:rsidRPr="00E03F8E">
        <w:t xml:space="preserve">l’information relative à l’accessibilité ou aux services alternatifs est souvent absente, incomplète ou difficile à trouver. </w:t>
      </w:r>
      <w:r w:rsidR="00DA3BE7" w:rsidRPr="00E03F8E">
        <w:t xml:space="preserve">Par </w:t>
      </w:r>
      <w:r w:rsidR="009A6BD1" w:rsidRPr="00E03F8E">
        <w:t>exemple</w:t>
      </w:r>
      <w:r w:rsidR="00DA3BE7" w:rsidRPr="00E03F8E">
        <w:t xml:space="preserve">, le </w:t>
      </w:r>
      <w:r w:rsidRPr="00E03F8E">
        <w:t>service 311</w:t>
      </w:r>
      <w:r w:rsidR="00D63B39" w:rsidRPr="00E03F8E">
        <w:t xml:space="preserve"> </w:t>
      </w:r>
      <w:r w:rsidR="00DA3BE7" w:rsidRPr="00E03F8E">
        <w:t xml:space="preserve">est </w:t>
      </w:r>
      <w:r w:rsidRPr="00E03F8E">
        <w:t xml:space="preserve">la porte d’entrée des citoyens qui veulent </w:t>
      </w:r>
      <w:r w:rsidR="00846623" w:rsidRPr="00E03F8E">
        <w:t xml:space="preserve">obtenir </w:t>
      </w:r>
      <w:r w:rsidRPr="00E03F8E">
        <w:t xml:space="preserve">de l’information, déposer une requête, se plaindre ou faire un commentaire sur un service de l’administration municipale. </w:t>
      </w:r>
      <w:r w:rsidR="00DA3BE7" w:rsidRPr="00E03F8E">
        <w:t>Or, l</w:t>
      </w:r>
      <w:r w:rsidRPr="00E03F8E">
        <w:t>e Service de relais vidéo</w:t>
      </w:r>
      <w:r w:rsidR="00E03F8E">
        <w:rPr>
          <w:rStyle w:val="FootnoteReference"/>
        </w:rPr>
        <w:footnoteReference w:id="9"/>
      </w:r>
      <w:r w:rsidR="00E03F8E">
        <w:t xml:space="preserve"> </w:t>
      </w:r>
      <w:r w:rsidRPr="00E03F8E">
        <w:t>(SRV), qui permet aux personnes sourdes de communiquer par téléphone, n’</w:t>
      </w:r>
      <w:r w:rsidR="009A6BD1" w:rsidRPr="00E03F8E">
        <w:t>est pas compatible avec le 311.</w:t>
      </w:r>
      <w:r w:rsidR="00E054A5">
        <w:t xml:space="preserve"> Il est vrai que </w:t>
      </w:r>
      <w:hyperlink r:id="rId20" w:anchor="par_courriel" w:history="1">
        <w:r w:rsidR="00F23D9C" w:rsidRPr="000D1C44">
          <w:rPr>
            <w:rStyle w:val="Hyperlink"/>
          </w:rPr>
          <w:t xml:space="preserve">la page « Nous joindre » du </w:t>
        </w:r>
        <w:r w:rsidR="003B1797" w:rsidRPr="000D1C44">
          <w:rPr>
            <w:rStyle w:val="Hyperlink"/>
          </w:rPr>
          <w:t>site Web de la Ville</w:t>
        </w:r>
      </w:hyperlink>
      <w:r w:rsidR="003B1797" w:rsidRPr="00E03F8E">
        <w:t xml:space="preserve"> </w:t>
      </w:r>
      <w:r w:rsidR="000D1C44">
        <w:t xml:space="preserve">propose une solution alternative pour </w:t>
      </w:r>
      <w:r w:rsidR="003751B6">
        <w:t>entrer en contact avec c</w:t>
      </w:r>
      <w:r w:rsidR="003B1797" w:rsidRPr="00E03F8E">
        <w:t>e service</w:t>
      </w:r>
      <w:r w:rsidR="001364DB">
        <w:t> :</w:t>
      </w:r>
      <w:r w:rsidR="00E054A5">
        <w:t xml:space="preserve"> i</w:t>
      </w:r>
      <w:r w:rsidR="000D1C44">
        <w:t xml:space="preserve">l s’agit de compléter un formulaire en ligne, et </w:t>
      </w:r>
      <w:r w:rsidR="003B1797" w:rsidRPr="00E03F8E">
        <w:t xml:space="preserve">la réponse à la question posée </w:t>
      </w:r>
      <w:r w:rsidR="000D1C44">
        <w:t xml:space="preserve">est </w:t>
      </w:r>
      <w:r w:rsidR="003B1797" w:rsidRPr="00E03F8E">
        <w:t xml:space="preserve">envoyée </w:t>
      </w:r>
      <w:r w:rsidR="00E03F8E" w:rsidRPr="00E03F8E">
        <w:t xml:space="preserve">au demandeur </w:t>
      </w:r>
      <w:r w:rsidR="003B1797" w:rsidRPr="00E03F8E">
        <w:t>par courriel</w:t>
      </w:r>
      <w:r w:rsidR="000D1C44">
        <w:t>.</w:t>
      </w:r>
      <w:r w:rsidR="00E054A5">
        <w:t xml:space="preserve"> Cependant</w:t>
      </w:r>
      <w:r w:rsidR="00A717E9">
        <w:t xml:space="preserve">, </w:t>
      </w:r>
      <w:r w:rsidR="000D1C44">
        <w:t xml:space="preserve">cette alternative </w:t>
      </w:r>
      <w:r w:rsidRPr="00E03F8E">
        <w:t xml:space="preserve">réduit considérablement les possibilités pour </w:t>
      </w:r>
      <w:r w:rsidR="000D1C44">
        <w:t>l</w:t>
      </w:r>
      <w:r w:rsidRPr="00E03F8E">
        <w:t xml:space="preserve">es personnes </w:t>
      </w:r>
      <w:r w:rsidR="000D1C44">
        <w:t xml:space="preserve">sourdes </w:t>
      </w:r>
      <w:r w:rsidRPr="00E03F8E">
        <w:t xml:space="preserve">d’obtenir des informations ou de déposer une plainte, puisque l’utilisation </w:t>
      </w:r>
      <w:r w:rsidR="00A717E9">
        <w:t xml:space="preserve">de ce </w:t>
      </w:r>
      <w:r w:rsidRPr="00E03F8E">
        <w:t xml:space="preserve">service en ligne requiert une </w:t>
      </w:r>
      <w:r w:rsidR="000846AD">
        <w:t xml:space="preserve">relativement bonne </w:t>
      </w:r>
      <w:r w:rsidRPr="00E03F8E">
        <w:t xml:space="preserve">connaissance du français </w:t>
      </w:r>
      <w:r w:rsidR="003751B6">
        <w:t>(</w:t>
      </w:r>
      <w:r w:rsidRPr="00E03F8E">
        <w:t>ou de l’anglais</w:t>
      </w:r>
      <w:r w:rsidR="003751B6">
        <w:t>)</w:t>
      </w:r>
      <w:r w:rsidR="00A717E9">
        <w:t xml:space="preserve"> écrit</w:t>
      </w:r>
      <w:r w:rsidRPr="00E03F8E">
        <w:t>, qui est généralement une langue seconde</w:t>
      </w:r>
      <w:r w:rsidR="00A717E9">
        <w:t xml:space="preserve"> (la langue des signes étant </w:t>
      </w:r>
      <w:r w:rsidR="002432EE">
        <w:t xml:space="preserve">habituellement </w:t>
      </w:r>
      <w:r w:rsidR="00A717E9">
        <w:t>leur langue maternelle ou première langue)</w:t>
      </w:r>
      <w:r w:rsidRPr="00E03F8E">
        <w:t xml:space="preserve">, moins bien maîtrisée par de nombreuses personnes sourdes. </w:t>
      </w:r>
      <w:r w:rsidR="002432EE">
        <w:t>Pourtant, il est possible de communiquer avec le 311 via le SRV, en composant un numéro à 10 chiffres, soit le 514-872-0311.</w:t>
      </w:r>
      <w:r w:rsidR="000846AD">
        <w:t xml:space="preserve"> Malheureusement</w:t>
      </w:r>
      <w:r w:rsidR="00753ACE">
        <w:t xml:space="preserve">, sur le site Web de la Ville, ce numéro est mentionné comme le moyen de joindre le 311 depuis l’extérieur de Montréal, </w:t>
      </w:r>
      <w:r w:rsidR="000846AD">
        <w:t xml:space="preserve">mais rien n’indique </w:t>
      </w:r>
      <w:r w:rsidR="00753ACE">
        <w:t xml:space="preserve">qu’il s’agit également du numéro à utiliser avec le SRV. </w:t>
      </w:r>
    </w:p>
    <w:p w:rsidR="00456074" w:rsidRDefault="008C7FA4" w:rsidP="008F5985">
      <w:r>
        <w:t>Finalement</w:t>
      </w:r>
      <w:r w:rsidR="0064189C">
        <w:t xml:space="preserve">, </w:t>
      </w:r>
      <w:r w:rsidR="001D054C">
        <w:t xml:space="preserve">aujourd’hui encore, </w:t>
      </w:r>
      <w:r w:rsidR="0064189C">
        <w:t xml:space="preserve">les employés municipaux sont </w:t>
      </w:r>
      <w:r w:rsidR="001D054C">
        <w:t xml:space="preserve">très </w:t>
      </w:r>
      <w:r w:rsidR="0064189C">
        <w:t>souvent mal à l’aise face aux personne</w:t>
      </w:r>
      <w:r w:rsidR="00A97EC5">
        <w:t>s</w:t>
      </w:r>
      <w:r w:rsidR="00681FC0">
        <w:t xml:space="preserve"> ayant des limitations fonctionnelles</w:t>
      </w:r>
      <w:r w:rsidR="0064189C">
        <w:t>, puisqu’ils ne savent pas comment interagir avec celle</w:t>
      </w:r>
      <w:r w:rsidR="00A97EC5">
        <w:t>s</w:t>
      </w:r>
      <w:r w:rsidR="0064189C">
        <w:t>-ci, ou qu’</w:t>
      </w:r>
      <w:r w:rsidR="005117B1">
        <w:t>il</w:t>
      </w:r>
      <w:r w:rsidR="0064189C">
        <w:t xml:space="preserve">s ont des idées préconçues </w:t>
      </w:r>
      <w:r w:rsidR="005117B1">
        <w:t xml:space="preserve">ou </w:t>
      </w:r>
      <w:r w:rsidR="0064189C">
        <w:t xml:space="preserve">erronées </w:t>
      </w:r>
      <w:r w:rsidR="005117B1">
        <w:t>(ex.</w:t>
      </w:r>
      <w:r w:rsidR="001364DB">
        <w:t> :</w:t>
      </w:r>
      <w:r w:rsidR="005117B1">
        <w:t xml:space="preserve"> </w:t>
      </w:r>
      <w:r w:rsidR="00E02F2D">
        <w:t xml:space="preserve">hausser </w:t>
      </w:r>
      <w:r w:rsidR="005117B1">
        <w:t xml:space="preserve">la voix pour parler </w:t>
      </w:r>
      <w:r w:rsidR="003751B6">
        <w:t>à</w:t>
      </w:r>
      <w:r w:rsidR="005117B1">
        <w:t xml:space="preserve"> une personne aveugle, parler lentement </w:t>
      </w:r>
      <w:r w:rsidR="003751B6">
        <w:t>à</w:t>
      </w:r>
      <w:r w:rsidR="005117B1">
        <w:t xml:space="preserve"> une personne ayant des difficultés d’élocution comme une personne</w:t>
      </w:r>
      <w:r w:rsidR="005117B1" w:rsidRPr="008B1104">
        <w:rPr>
          <w:lang w:val="fr-CI"/>
        </w:rPr>
        <w:t xml:space="preserve"> b</w:t>
      </w:r>
      <w:r w:rsidR="008B1104">
        <w:rPr>
          <w:lang w:val="fr-CI"/>
        </w:rPr>
        <w:t>è</w:t>
      </w:r>
      <w:r w:rsidR="005117B1" w:rsidRPr="008B1104">
        <w:rPr>
          <w:lang w:val="fr-CI"/>
        </w:rPr>
        <w:t>gue</w:t>
      </w:r>
      <w:r w:rsidR="005117B1">
        <w:t xml:space="preserve">, etc.). </w:t>
      </w:r>
    </w:p>
    <w:p w:rsidR="0053680F" w:rsidRDefault="00EB7A64" w:rsidP="00BC0A5B">
      <w:pPr>
        <w:pStyle w:val="Heading2"/>
      </w:pPr>
      <w:bookmarkStart w:id="32" w:name="_Toc23781693"/>
      <w:r>
        <w:lastRenderedPageBreak/>
        <w:t>Situations de discrimination et atteinte à l’exercice des droits</w:t>
      </w:r>
      <w:bookmarkEnd w:id="32"/>
    </w:p>
    <w:p w:rsidR="00A76819" w:rsidRDefault="00A76819" w:rsidP="00EB7A64">
      <w:pPr>
        <w:pStyle w:val="Heading3"/>
      </w:pPr>
      <w:r>
        <w:t>Droit à l’intégrité</w:t>
      </w:r>
    </w:p>
    <w:p w:rsidR="00A76819" w:rsidRPr="005C36BA" w:rsidRDefault="005A7D0B" w:rsidP="00C9625D">
      <w:pPr>
        <w:numPr>
          <w:ilvl w:val="0"/>
          <w:numId w:val="24"/>
        </w:numPr>
      </w:pPr>
      <w:r w:rsidRPr="005C36BA">
        <w:t>Georges</w:t>
      </w:r>
      <w:r w:rsidR="001364DB">
        <w:t> :</w:t>
      </w:r>
      <w:r w:rsidRPr="005C36BA">
        <w:t xml:space="preserve"> « </w:t>
      </w:r>
      <w:r w:rsidR="00175767" w:rsidRPr="005C36BA">
        <w:t xml:space="preserve">[…] </w:t>
      </w:r>
      <w:r w:rsidR="00E92EA3" w:rsidRPr="005C36BA">
        <w:t xml:space="preserve">je fais des gestes </w:t>
      </w:r>
      <w:r w:rsidR="008B1104" w:rsidRPr="005C36BA">
        <w:t>saccadés</w:t>
      </w:r>
      <w:r w:rsidR="00E92EA3" w:rsidRPr="005C36BA">
        <w:t xml:space="preserve"> et j’ai des problèmes d’élocution, </w:t>
      </w:r>
      <w:r w:rsidRPr="005C36BA">
        <w:t>les gens ont de la difficulté à me compre</w:t>
      </w:r>
      <w:r w:rsidR="005E3775">
        <w:t>ndre. […] l’employé n’a pas pris</w:t>
      </w:r>
      <w:r w:rsidRPr="005C36BA">
        <w:t xml:space="preserve"> le temps de m’écouter, </w:t>
      </w:r>
      <w:r w:rsidR="00E92EA3" w:rsidRPr="005C36BA">
        <w:t xml:space="preserve">il m’a dit que j’avais pris trop d’alcool, </w:t>
      </w:r>
      <w:r w:rsidR="002C3066" w:rsidRPr="005C36BA">
        <w:t>il ne m’a pas pris au sérieux. »</w:t>
      </w:r>
    </w:p>
    <w:p w:rsidR="002C3066" w:rsidRPr="005C36BA" w:rsidRDefault="0039365B" w:rsidP="00C9625D">
      <w:pPr>
        <w:numPr>
          <w:ilvl w:val="0"/>
          <w:numId w:val="24"/>
        </w:numPr>
      </w:pPr>
      <w:r w:rsidRPr="005C36BA">
        <w:t>Alberto</w:t>
      </w:r>
      <w:r w:rsidR="001364DB">
        <w:t> :</w:t>
      </w:r>
      <w:r w:rsidRPr="005C36BA">
        <w:t xml:space="preserve"> </w:t>
      </w:r>
      <w:r w:rsidR="0077483A" w:rsidRPr="005C36BA">
        <w:t>« […]</w:t>
      </w:r>
      <w:r w:rsidR="001D2351" w:rsidRPr="005C36BA">
        <w:t xml:space="preserve"> </w:t>
      </w:r>
      <w:r w:rsidR="0077483A" w:rsidRPr="005C36BA">
        <w:t xml:space="preserve">le policier </w:t>
      </w:r>
      <w:r w:rsidR="008740B0" w:rsidRPr="005C36BA">
        <w:t>a refusé d’</w:t>
      </w:r>
      <w:r w:rsidR="0077483A" w:rsidRPr="005C36BA">
        <w:t>écrire pour communiquer avec moi, il a demandé à mon enfant de 8 ans [qui est entendant] de faire l’interprète</w:t>
      </w:r>
      <w:r w:rsidR="001D2351" w:rsidRPr="005C36BA">
        <w:t xml:space="preserve">, même si je </w:t>
      </w:r>
      <w:r w:rsidR="008740B0" w:rsidRPr="005C36BA">
        <w:t xml:space="preserve">ne le </w:t>
      </w:r>
      <w:r w:rsidR="001D2351" w:rsidRPr="005C36BA">
        <w:t>voulais</w:t>
      </w:r>
      <w:r w:rsidR="008740B0" w:rsidRPr="005C36BA">
        <w:t xml:space="preserve"> pas</w:t>
      </w:r>
      <w:r w:rsidR="0077483A" w:rsidRPr="005C36BA">
        <w:t>.</w:t>
      </w:r>
      <w:r w:rsidR="00D53968" w:rsidRPr="005C36BA">
        <w:t> »</w:t>
      </w:r>
      <w:r w:rsidR="002F108D" w:rsidRPr="005C36BA">
        <w:t xml:space="preserve"> </w:t>
      </w:r>
      <w:r w:rsidR="002F108D" w:rsidRPr="005C36BA">
        <w:br/>
        <w:t xml:space="preserve">Une formation à l’accueil des personnes </w:t>
      </w:r>
      <w:r w:rsidR="003751B6">
        <w:t>ayant des limitations fonctionnelles</w:t>
      </w:r>
      <w:r w:rsidR="002F108D" w:rsidRPr="005C36BA">
        <w:t xml:space="preserve"> et aux différents types de handicap</w:t>
      </w:r>
      <w:r w:rsidR="00F939EE">
        <w:t>s</w:t>
      </w:r>
      <w:r w:rsidR="002F108D" w:rsidRPr="005C36BA">
        <w:t xml:space="preserve"> aurait permis aux employés municipaux de mieux communiquer avec Georges et Alberto, évitant de compromettre leur droit à l’in</w:t>
      </w:r>
      <w:r w:rsidR="00723E3A" w:rsidRPr="005C36BA">
        <w:t>t</w:t>
      </w:r>
      <w:r w:rsidR="002F108D" w:rsidRPr="005C36BA">
        <w:t xml:space="preserve">égrité. </w:t>
      </w:r>
    </w:p>
    <w:p w:rsidR="00467E21" w:rsidRPr="00467E21" w:rsidRDefault="00467E21" w:rsidP="00467E21">
      <w:pPr>
        <w:pStyle w:val="Heading3"/>
      </w:pPr>
      <w:r>
        <w:t>Droit à l’égalité</w:t>
      </w:r>
    </w:p>
    <w:p w:rsidR="0039365B" w:rsidRPr="005C36BA" w:rsidRDefault="00802860" w:rsidP="00C9625D">
      <w:pPr>
        <w:numPr>
          <w:ilvl w:val="0"/>
          <w:numId w:val="25"/>
        </w:numPr>
      </w:pPr>
      <w:r w:rsidRPr="005C36BA">
        <w:t xml:space="preserve">Léa est aveugle. Le soir, elle recherche sur le site Web de la Ville les informations sur la collecte des </w:t>
      </w:r>
      <w:r w:rsidR="00F939EE">
        <w:t>ordure</w:t>
      </w:r>
      <w:r w:rsidRPr="005C36BA">
        <w:t xml:space="preserve">s, afin de savoir si, </w:t>
      </w:r>
      <w:r w:rsidR="00F939EE">
        <w:t>en raison d’</w:t>
      </w:r>
      <w:r w:rsidR="00E02F2D" w:rsidRPr="005C36BA">
        <w:t xml:space="preserve">un </w:t>
      </w:r>
      <w:r w:rsidRPr="005C36BA">
        <w:t xml:space="preserve">congé férié, la collecte aura lieu le lendemain ou le jour suivant. L’information n’est disponible que dans un document PDF, </w:t>
      </w:r>
      <w:r w:rsidR="002F108D" w:rsidRPr="005C36BA">
        <w:t xml:space="preserve">qui contient des symboles pour transmettre l’information sur les jours de collecte, lesquels sont </w:t>
      </w:r>
      <w:r w:rsidRPr="005C36BA">
        <w:t>impossible</w:t>
      </w:r>
      <w:r w:rsidR="002F108D" w:rsidRPr="005C36BA">
        <w:t>s</w:t>
      </w:r>
      <w:r w:rsidRPr="005C36BA">
        <w:t xml:space="preserve"> à </w:t>
      </w:r>
      <w:r w:rsidR="002F108D" w:rsidRPr="005C36BA">
        <w:t xml:space="preserve">énoncer </w:t>
      </w:r>
      <w:r w:rsidRPr="005C36BA">
        <w:t xml:space="preserve">avec sa synthèse vocale. Léa décide donc de sortir ses </w:t>
      </w:r>
      <w:r w:rsidR="00507009">
        <w:t>ordur</w:t>
      </w:r>
      <w:r w:rsidR="00467E21" w:rsidRPr="005C36BA">
        <w:t xml:space="preserve">es </w:t>
      </w:r>
      <w:r w:rsidR="002C7E6F">
        <w:t>selon les horaires habituels</w:t>
      </w:r>
      <w:r w:rsidRPr="005C36BA">
        <w:t xml:space="preserve">. Quelques semaines après, Léa reçoit un constat d’infraction, car elle a sorti ses </w:t>
      </w:r>
      <w:r w:rsidR="00507009">
        <w:t>ordure</w:t>
      </w:r>
      <w:r w:rsidR="00467E21" w:rsidRPr="005C36BA">
        <w:t xml:space="preserve">s </w:t>
      </w:r>
      <w:r w:rsidRPr="005C36BA">
        <w:t xml:space="preserve">en dehors </w:t>
      </w:r>
      <w:r w:rsidR="00467E21" w:rsidRPr="005C36BA">
        <w:t xml:space="preserve">d’une plage horaire </w:t>
      </w:r>
      <w:r w:rsidRPr="005C36BA">
        <w:t>autorisé</w:t>
      </w:r>
      <w:r w:rsidR="00467E21" w:rsidRPr="005C36BA">
        <w:t>e</w:t>
      </w:r>
      <w:r w:rsidRPr="005C36BA">
        <w:t xml:space="preserve">. </w:t>
      </w:r>
      <w:r w:rsidRPr="005C36BA">
        <w:br/>
        <w:t xml:space="preserve">Si </w:t>
      </w:r>
      <w:r w:rsidR="00F939EE">
        <w:t>le site Web avait contenu</w:t>
      </w:r>
      <w:r w:rsidRPr="005C36BA">
        <w:t xml:space="preserve"> une information accessible, </w:t>
      </w:r>
      <w:r w:rsidR="00F939EE">
        <w:t>Léa</w:t>
      </w:r>
      <w:r w:rsidRPr="005C36BA">
        <w:t xml:space="preserve"> n’aurait pas sorti ses </w:t>
      </w:r>
      <w:r w:rsidR="00507009">
        <w:t>ordure</w:t>
      </w:r>
      <w:r w:rsidR="00467E21" w:rsidRPr="005C36BA">
        <w:t xml:space="preserve">s un jour férié, </w:t>
      </w:r>
      <w:r w:rsidRPr="005C36BA">
        <w:t xml:space="preserve">et </w:t>
      </w:r>
      <w:r w:rsidR="00467E21" w:rsidRPr="005C36BA">
        <w:t xml:space="preserve">elle </w:t>
      </w:r>
      <w:r w:rsidRPr="005C36BA">
        <w:t xml:space="preserve">n’aurait pas reçu de constat d’infraction. </w:t>
      </w:r>
    </w:p>
    <w:p w:rsidR="0053680F" w:rsidRDefault="0053680F" w:rsidP="008F3101">
      <w:pPr>
        <w:pStyle w:val="Heading1"/>
      </w:pPr>
      <w:bookmarkStart w:id="33" w:name="_Toc23781694"/>
      <w:r>
        <w:t>Emploi</w:t>
      </w:r>
      <w:bookmarkEnd w:id="33"/>
      <w:r>
        <w:t xml:space="preserve"> </w:t>
      </w:r>
    </w:p>
    <w:p w:rsidR="0053680F" w:rsidRDefault="0053680F" w:rsidP="00BC0A5B">
      <w:pPr>
        <w:pStyle w:val="Heading2"/>
      </w:pPr>
      <w:bookmarkStart w:id="34" w:name="_Toc23781695"/>
      <w:r>
        <w:t>Constats</w:t>
      </w:r>
      <w:bookmarkEnd w:id="34"/>
    </w:p>
    <w:p w:rsidR="0024665C" w:rsidRDefault="0024665C" w:rsidP="008F5985">
      <w:r>
        <w:t>En 2008, la Ville de Montréal s’est doté</w:t>
      </w:r>
      <w:r w:rsidR="00AC1CF0">
        <w:t>e</w:t>
      </w:r>
      <w:r>
        <w:t xml:space="preserve"> d’un programme d’accès à l’égalité en emploi (PAEE) destiné à augmenter le </w:t>
      </w:r>
      <w:r w:rsidRPr="000361B7">
        <w:t xml:space="preserve">nombre d’employés </w:t>
      </w:r>
      <w:r w:rsidR="00F939EE" w:rsidRPr="000361B7">
        <w:t>auto-identifiés à l’un d</w:t>
      </w:r>
      <w:r w:rsidRPr="000361B7">
        <w:t>es</w:t>
      </w:r>
      <w:r w:rsidRPr="00F939EE">
        <w:t xml:space="preserve"> cinq </w:t>
      </w:r>
      <w:r w:rsidR="00F939EE">
        <w:t>g</w:t>
      </w:r>
      <w:r w:rsidRPr="00F939EE">
        <w:t>roupes</w:t>
      </w:r>
      <w:r w:rsidR="004D1CD2" w:rsidRPr="00F939EE">
        <w:t xml:space="preserve"> visés par les Programmes d’accès à l’égalité, soit les femmes, les Autochtones</w:t>
      </w:r>
      <w:r w:rsidR="004D1CD2" w:rsidRPr="004D1CD2">
        <w:t>, les minorités visibles, les minorités ethniques et les personnes handicapées</w:t>
      </w:r>
      <w:r>
        <w:t xml:space="preserve">. </w:t>
      </w:r>
    </w:p>
    <w:p w:rsidR="00F91D42" w:rsidRDefault="00276489" w:rsidP="008F5985">
      <w:r>
        <w:t xml:space="preserve">Pourtant, à la Ville de Montréal comme ailleurs, les personnes ayant des limitations fonctionnelles </w:t>
      </w:r>
      <w:r w:rsidR="00F91D42">
        <w:t xml:space="preserve">restent </w:t>
      </w:r>
      <w:r>
        <w:t xml:space="preserve">sous-représentées sur le marché du travail. </w:t>
      </w:r>
      <w:r w:rsidR="00F91D42">
        <w:t xml:space="preserve">En effet, d’octobre </w:t>
      </w:r>
      <w:r w:rsidR="00F91D42">
        <w:lastRenderedPageBreak/>
        <w:t xml:space="preserve">2018 à août 2019, sur </w:t>
      </w:r>
      <w:r w:rsidR="002C7E6F">
        <w:t xml:space="preserve">les </w:t>
      </w:r>
      <w:r w:rsidR="00F91D42">
        <w:t xml:space="preserve">2598 personnes embauchées à la Ville, </w:t>
      </w:r>
      <w:r w:rsidR="00F939EE">
        <w:t xml:space="preserve">seules </w:t>
      </w:r>
      <w:r w:rsidR="00F91D42">
        <w:t xml:space="preserve">18 s’étaient </w:t>
      </w:r>
      <w:r w:rsidR="004D1CD2">
        <w:t>auto-</w:t>
      </w:r>
      <w:r w:rsidR="00F91D42">
        <w:t>identifiées comme étant des personnes ayant des limitations fonctionnelles, soit environ 0.69</w:t>
      </w:r>
      <w:r w:rsidR="00F939EE">
        <w:t> </w:t>
      </w:r>
      <w:r w:rsidR="00F91D42">
        <w:t>%, alors que</w:t>
      </w:r>
      <w:r w:rsidR="00533C42">
        <w:t xml:space="preserve">, selon l’Enquête canadienne sur l’incapacité de 2017, </w:t>
      </w:r>
      <w:r w:rsidR="00E73AF8">
        <w:t>au Québec, 13</w:t>
      </w:r>
      <w:r w:rsidR="00533C42">
        <w:t>.</w:t>
      </w:r>
      <w:r w:rsidR="00E73AF8">
        <w:t>2</w:t>
      </w:r>
      <w:r w:rsidR="00F939EE">
        <w:t> </w:t>
      </w:r>
      <w:r w:rsidR="00533C42">
        <w:t>% des personnes âgées de 15 à 6</w:t>
      </w:r>
      <w:r w:rsidR="00E73AF8">
        <w:t>4</w:t>
      </w:r>
      <w:r w:rsidR="00533C42">
        <w:t xml:space="preserve"> ans </w:t>
      </w:r>
      <w:r w:rsidR="00F939EE">
        <w:t>déclaraient</w:t>
      </w:r>
      <w:r w:rsidR="00E73AF8">
        <w:t xml:space="preserve"> avoir une incapacité. </w:t>
      </w:r>
    </w:p>
    <w:p w:rsidR="00276489" w:rsidRDefault="00B3749C" w:rsidP="008F5985">
      <w:r>
        <w:t>Au demeurant</w:t>
      </w:r>
      <w:r w:rsidR="00276489">
        <w:t xml:space="preserve">, </w:t>
      </w:r>
      <w:r w:rsidR="00EB76FA">
        <w:t xml:space="preserve">les recherches ont largement démontré que </w:t>
      </w:r>
      <w:r w:rsidR="00276489">
        <w:t xml:space="preserve">pour </w:t>
      </w:r>
      <w:r w:rsidR="004D1CD2">
        <w:t xml:space="preserve">les personnes </w:t>
      </w:r>
      <w:r>
        <w:t xml:space="preserve">visées </w:t>
      </w:r>
      <w:r w:rsidRPr="000361B7">
        <w:t>par ce</w:t>
      </w:r>
      <w:r w:rsidR="000361B7" w:rsidRPr="000361B7">
        <w:t>s</w:t>
      </w:r>
      <w:r w:rsidRPr="000361B7">
        <w:t xml:space="preserve"> programme</w:t>
      </w:r>
      <w:r w:rsidR="000361B7" w:rsidRPr="000361B7">
        <w:t>s</w:t>
      </w:r>
      <w:r w:rsidR="00276489" w:rsidRPr="000361B7">
        <w:t xml:space="preserve">, l’appartenance à au moins deux </w:t>
      </w:r>
      <w:r w:rsidRPr="000361B7">
        <w:t xml:space="preserve">de ces cinq </w:t>
      </w:r>
      <w:r w:rsidR="00276489" w:rsidRPr="000361B7">
        <w:t>groupes aggrave le</w:t>
      </w:r>
      <w:r w:rsidR="00276489">
        <w:t xml:space="preserve"> risque de discrimination en emploi. </w:t>
      </w:r>
    </w:p>
    <w:p w:rsidR="0024665C" w:rsidRDefault="00800BF8" w:rsidP="008F5985">
      <w:r>
        <w:t xml:space="preserve">Malgré des efforts certains, </w:t>
      </w:r>
      <w:r w:rsidR="002E0A18">
        <w:t>le nombre de personnes ayant des limitations fonctionnelles embauchées à la Ville reste dramatiquement faible, puisque les obstacles sont toujours nombreux</w:t>
      </w:r>
      <w:r w:rsidR="001364DB">
        <w:t> :</w:t>
      </w:r>
      <w:r w:rsidR="002E0A18">
        <w:t xml:space="preserve"> inaccessibilité des processus d’embauche (</w:t>
      </w:r>
      <w:r w:rsidR="00AB3543">
        <w:t>ex.</w:t>
      </w:r>
      <w:r w:rsidR="001364DB">
        <w:t> :</w:t>
      </w:r>
      <w:r w:rsidR="00AB3543">
        <w:t xml:space="preserve"> formulaires, </w:t>
      </w:r>
      <w:r w:rsidR="0032003C">
        <w:t>lieux des entrevues</w:t>
      </w:r>
      <w:r w:rsidR="00AB3543">
        <w:t>, etc.), crainte et résistance</w:t>
      </w:r>
      <w:r w:rsidR="0032003C">
        <w:t>, plus ou moins passive,</w:t>
      </w:r>
      <w:r w:rsidR="00AB3543">
        <w:t xml:space="preserve"> des recruteurs, des gestionnaires et des </w:t>
      </w:r>
      <w:r w:rsidR="00FB09DB">
        <w:t xml:space="preserve">éventuels collègues </w:t>
      </w:r>
      <w:r w:rsidR="00AB3543">
        <w:t>(ex.</w:t>
      </w:r>
      <w:r w:rsidR="001364DB">
        <w:t> :</w:t>
      </w:r>
      <w:r w:rsidR="00AB3543">
        <w:t xml:space="preserve"> </w:t>
      </w:r>
      <w:r w:rsidR="00957A30">
        <w:t xml:space="preserve">méconnaissance des capacités des personnes, ignorance des outils </w:t>
      </w:r>
      <w:r w:rsidR="00B9119F">
        <w:t xml:space="preserve">d’adaptation </w:t>
      </w:r>
      <w:r w:rsidR="00957A30">
        <w:t xml:space="preserve">et des programmes existants, crainte de devoir faire le travail à la place de la personne, etc.), </w:t>
      </w:r>
      <w:r w:rsidR="0032003C">
        <w:t xml:space="preserve">désuétude </w:t>
      </w:r>
      <w:r w:rsidR="00E107BE">
        <w:t xml:space="preserve">de certains équipements </w:t>
      </w:r>
      <w:r w:rsidR="0032003C">
        <w:t xml:space="preserve">et logiciels, difficilement compatibles avec des technologies d’adaptation, </w:t>
      </w:r>
      <w:r w:rsidR="00957A30">
        <w:t xml:space="preserve">etc. </w:t>
      </w:r>
    </w:p>
    <w:p w:rsidR="00957A30" w:rsidRDefault="00F1423B" w:rsidP="008F5985">
      <w:r>
        <w:t>Même si le Service des ressources humaines de la Ville, en collaboration avec les organismes communautaires et les Services spécialisés de main d’œuvre pour personnes handicapées (SSMO-PH)</w:t>
      </w:r>
      <w:r w:rsidR="00F939EE">
        <w:t>, s’efforce</w:t>
      </w:r>
      <w:r>
        <w:t xml:space="preserve"> d’offrir des activités de sensibilisation</w:t>
      </w:r>
      <w:r w:rsidR="00D2233E">
        <w:t xml:space="preserve">, des formations et de l’accompagnement aux employés responsables du recrutement, de l’intégration et du maintien en emploi des personnes ayant des limitations fonctionnelles, </w:t>
      </w:r>
      <w:r w:rsidR="00102341">
        <w:t xml:space="preserve">aucun </w:t>
      </w:r>
      <w:r w:rsidR="003D2FD3">
        <w:t xml:space="preserve">progrès </w:t>
      </w:r>
      <w:r w:rsidR="00102341">
        <w:t xml:space="preserve">significatif ne pourra avoir lieu sans </w:t>
      </w:r>
      <w:r w:rsidR="00915B99">
        <w:t xml:space="preserve">un changement radical des pratiques et des mentalités. </w:t>
      </w:r>
    </w:p>
    <w:p w:rsidR="0024665C" w:rsidRPr="0024665C" w:rsidRDefault="00102341" w:rsidP="008F5985">
      <w:r>
        <w:t xml:space="preserve">De plus, la sous-représentativité des personnes </w:t>
      </w:r>
      <w:r w:rsidR="00915B99">
        <w:t xml:space="preserve">ayant des limitations fonctionnelles </w:t>
      </w:r>
      <w:r>
        <w:t xml:space="preserve">au sein des effectifs municipaux contribue à entretenir les préjugés, les </w:t>
      </w:r>
      <w:r w:rsidR="00F939EE">
        <w:t>stéréotypes</w:t>
      </w:r>
      <w:r>
        <w:t xml:space="preserve"> et la méconnaissance de</w:t>
      </w:r>
      <w:r w:rsidR="00915B99">
        <w:t xml:space="preserve"> leur</w:t>
      </w:r>
      <w:r>
        <w:t>s capacités</w:t>
      </w:r>
      <w:r w:rsidR="00915B99">
        <w:t>.</w:t>
      </w:r>
      <w:r w:rsidR="001B1F43">
        <w:t xml:space="preserve"> </w:t>
      </w:r>
    </w:p>
    <w:p w:rsidR="0053680F" w:rsidRDefault="00EB7A64" w:rsidP="00BC0A5B">
      <w:pPr>
        <w:pStyle w:val="Heading2"/>
      </w:pPr>
      <w:bookmarkStart w:id="35" w:name="_Toc23781696"/>
      <w:r>
        <w:t>Situations de discrimination et atteinte à l’exercice des droits</w:t>
      </w:r>
      <w:bookmarkEnd w:id="35"/>
    </w:p>
    <w:p w:rsidR="0053680F" w:rsidRDefault="00E15331" w:rsidP="00E15331">
      <w:pPr>
        <w:pStyle w:val="Heading3"/>
      </w:pPr>
      <w:r>
        <w:t>Droit à l’égalité</w:t>
      </w:r>
    </w:p>
    <w:p w:rsidR="00E15331" w:rsidRPr="006C16BA" w:rsidRDefault="00E15331" w:rsidP="00C9625D">
      <w:pPr>
        <w:numPr>
          <w:ilvl w:val="0"/>
          <w:numId w:val="26"/>
        </w:numPr>
      </w:pPr>
      <w:r w:rsidRPr="006C16BA">
        <w:t xml:space="preserve">Martine est aveugle. </w:t>
      </w:r>
      <w:r w:rsidR="00413370" w:rsidRPr="006C16BA">
        <w:t xml:space="preserve">Via un organisme dont elle est membre, elle reçoit une invitation à effectuer un stage à la Ville de Montréal, destiné aux personnes ayant des limitations fonctionnelles. Martine se rend sur le site afin de compléter le formulaire nécessaire à l’obtention du stage, mais celui-ci n’est pas utilisable avec sa synthèse vocale. Martine doit donc renoncer à déposer sa candidature. </w:t>
      </w:r>
      <w:r w:rsidR="00FD20A3" w:rsidRPr="006C16BA">
        <w:br/>
        <w:t xml:space="preserve">Si le site Web de la Vile de Montréal avait respecté les normes en matière </w:t>
      </w:r>
      <w:r w:rsidR="00FD20A3" w:rsidRPr="006C16BA">
        <w:lastRenderedPageBreak/>
        <w:t xml:space="preserve">d’accessibilité numérique, Martine aurait été en mesure de déposer sa candidature, afin d’effectuer un stage au sein de la Ville, </w:t>
      </w:r>
      <w:r w:rsidR="005C4A85" w:rsidRPr="006C16BA">
        <w:t xml:space="preserve">et </w:t>
      </w:r>
      <w:r w:rsidR="00637A22" w:rsidRPr="006C16BA">
        <w:t xml:space="preserve">ainsi, </w:t>
      </w:r>
      <w:r w:rsidR="005C4A85" w:rsidRPr="006C16BA">
        <w:t xml:space="preserve">de développer de nouvelles compétences en terme d’employabilité. </w:t>
      </w:r>
      <w:r w:rsidR="00F939EE">
        <w:t>L’obstacle créé par le manque d’accessibilité</w:t>
      </w:r>
      <w:r w:rsidR="005C4A85" w:rsidRPr="006C16BA">
        <w:t xml:space="preserve"> </w:t>
      </w:r>
      <w:r w:rsidR="002C7E6F">
        <w:t xml:space="preserve">numérique </w:t>
      </w:r>
      <w:r w:rsidR="005C4A85" w:rsidRPr="006C16BA">
        <w:t>l</w:t>
      </w:r>
      <w:r w:rsidR="005855EB" w:rsidRPr="006C16BA">
        <w:t>’</w:t>
      </w:r>
      <w:r w:rsidR="005C4A85" w:rsidRPr="006C16BA">
        <w:t>a privé</w:t>
      </w:r>
      <w:r w:rsidR="008B1104" w:rsidRPr="006C16BA">
        <w:t>e</w:t>
      </w:r>
      <w:r w:rsidR="005C4A85" w:rsidRPr="006C16BA">
        <w:t xml:space="preserve"> du droit à l’égalité dans le domaine du</w:t>
      </w:r>
      <w:r w:rsidR="002C7E6F">
        <w:t xml:space="preserve"> travail, l’un des 4 domaines où</w:t>
      </w:r>
      <w:r w:rsidR="005C4A85" w:rsidRPr="006C16BA">
        <w:t xml:space="preserve"> la discrimination est interdite par la Charte. </w:t>
      </w:r>
    </w:p>
    <w:p w:rsidR="004B372C" w:rsidRPr="006C16BA" w:rsidRDefault="00CD195B" w:rsidP="00C9625D">
      <w:pPr>
        <w:numPr>
          <w:ilvl w:val="0"/>
          <w:numId w:val="26"/>
        </w:numPr>
      </w:pPr>
      <w:r w:rsidRPr="006C16BA">
        <w:t xml:space="preserve">Simon, </w:t>
      </w:r>
      <w:r w:rsidR="001B1F43" w:rsidRPr="006C16BA">
        <w:t>passionné</w:t>
      </w:r>
      <w:r w:rsidRPr="006C16BA">
        <w:t xml:space="preserve"> de nature et d’espaces verts, a une déficience intellectuelle légère. Depuis plusieurs années, il effectue régulièrement des stages dans différentes organisations, afin de développer ses compétences et son autonomie. </w:t>
      </w:r>
      <w:r w:rsidR="00B37E95" w:rsidRPr="006C16BA">
        <w:t xml:space="preserve">Ses mentors sont enchantés du travail de Simon, qui </w:t>
      </w:r>
      <w:r w:rsidR="00710CC9" w:rsidRPr="006C16BA">
        <w:t>est appliqué et consciencieux, qui a</w:t>
      </w:r>
      <w:r w:rsidR="00B37E95" w:rsidRPr="006C16BA">
        <w:t xml:space="preserve"> su relever tous les défis et donner entière satisfaction</w:t>
      </w:r>
      <w:r w:rsidR="00D6197D" w:rsidRPr="006C16BA">
        <w:t xml:space="preserve"> à ses employeurs</w:t>
      </w:r>
      <w:r w:rsidR="00B37E95" w:rsidRPr="006C16BA">
        <w:t xml:space="preserve">. Toutefois, n’ayant pas </w:t>
      </w:r>
      <w:r w:rsidR="0074622A" w:rsidRPr="006C16BA">
        <w:t xml:space="preserve">été en mesure de </w:t>
      </w:r>
      <w:r w:rsidR="00B37E95" w:rsidRPr="006C16BA">
        <w:t>termin</w:t>
      </w:r>
      <w:r w:rsidR="0074622A" w:rsidRPr="006C16BA">
        <w:t>er</w:t>
      </w:r>
      <w:r w:rsidR="00B37E95" w:rsidRPr="006C16BA">
        <w:t xml:space="preserve"> son secondaire</w:t>
      </w:r>
      <w:r w:rsidR="0074622A" w:rsidRPr="006C16BA">
        <w:t xml:space="preserve"> en raison de sa</w:t>
      </w:r>
      <w:r w:rsidR="00096B03" w:rsidRPr="006C16BA">
        <w:t xml:space="preserve"> déficience</w:t>
      </w:r>
      <w:r w:rsidR="00B37E95" w:rsidRPr="006C16BA">
        <w:t>, Simon ne peut pas postuler à un emploi dans les parcs et jardins</w:t>
      </w:r>
      <w:r w:rsidR="002C7E6F">
        <w:t xml:space="preserve"> municipaux</w:t>
      </w:r>
      <w:r w:rsidR="00B37E95" w:rsidRPr="006C16BA">
        <w:t>, puisqu</w:t>
      </w:r>
      <w:r w:rsidR="008B1104" w:rsidRPr="006C16BA">
        <w:t>’</w:t>
      </w:r>
      <w:r w:rsidR="00B37E95" w:rsidRPr="006C16BA">
        <w:t>un secondaire 5 est requis pour tout</w:t>
      </w:r>
      <w:r w:rsidR="002C7E6F">
        <w:t>e candidature</w:t>
      </w:r>
      <w:r w:rsidR="00B37E95" w:rsidRPr="006C16BA">
        <w:t xml:space="preserve"> à la Ville. </w:t>
      </w:r>
      <w:r w:rsidR="002D35E7" w:rsidRPr="006C16BA">
        <w:br/>
        <w:t xml:space="preserve">Sans cette exigence de niveau scolaire, dont la nécessité pour l’emploi convoité par Simon n’est pas </w:t>
      </w:r>
      <w:r w:rsidR="00710CC9" w:rsidRPr="006C16BA">
        <w:t xml:space="preserve">démontrée, Simon pourrait postuler à la Ville et espérer obtenir l’emploi de ses rêves. </w:t>
      </w:r>
      <w:r w:rsidR="004D4BFB" w:rsidRPr="006C16BA">
        <w:t xml:space="preserve">À cet effet, une révision de la politique d’embauche de la Ville devrait être envisagée. </w:t>
      </w:r>
    </w:p>
    <w:p w:rsidR="0053680F" w:rsidRDefault="00096B03" w:rsidP="00C9625D">
      <w:pPr>
        <w:numPr>
          <w:ilvl w:val="0"/>
          <w:numId w:val="26"/>
        </w:numPr>
      </w:pPr>
      <w:r w:rsidRPr="006C16BA">
        <w:t>Béatrice</w:t>
      </w:r>
      <w:r w:rsidR="001364DB">
        <w:t> :</w:t>
      </w:r>
      <w:r w:rsidRPr="006C16BA">
        <w:t xml:space="preserve"> « Quand je suis arrivée à l’entrevue et que le recruteur a réalisé que j’étais une personne avec des limitations fonctionnelles, </w:t>
      </w:r>
      <w:r w:rsidR="00D42BCB" w:rsidRPr="006C16BA">
        <w:t xml:space="preserve">il a immédiatement changé d’attitude […] il voulait me faire dire que je ne serai pas capable de faire le travail […] Il n’avait pas imaginé qu’une personne aveugle était capable d’utiliser un ordinateur comme tout le monde. » </w:t>
      </w:r>
      <w:r w:rsidR="006C16BA">
        <w:br/>
      </w:r>
      <w:r w:rsidR="00D42BCB">
        <w:t xml:space="preserve">Avec une formation appropriée et des activités de sensibilisation à l’embauche, à l’intégration et au maintien en emploi des personnes ayant des limitations fonctionnelles, l’employé de la Ville n’aurait pas </w:t>
      </w:r>
      <w:r w:rsidR="006762B8">
        <w:t xml:space="preserve">mis en doute la </w:t>
      </w:r>
      <w:r w:rsidR="00F939EE">
        <w:t xml:space="preserve">capacité de </w:t>
      </w:r>
      <w:r w:rsidR="00D42BCB">
        <w:t xml:space="preserve">Béatrice </w:t>
      </w:r>
      <w:r w:rsidR="006D37B5">
        <w:t xml:space="preserve">à </w:t>
      </w:r>
      <w:r w:rsidR="00D42BCB">
        <w:t>occuper un poste</w:t>
      </w:r>
      <w:r w:rsidR="00AE5BF6">
        <w:t xml:space="preserve"> en administration. </w:t>
      </w:r>
    </w:p>
    <w:p w:rsidR="008F32F1" w:rsidRDefault="008F32F1" w:rsidP="008F32F1">
      <w:pPr>
        <w:pStyle w:val="Heading1"/>
      </w:pPr>
      <w:bookmarkStart w:id="36" w:name="_Toc23781697"/>
      <w:r>
        <w:t>Recommandations</w:t>
      </w:r>
      <w:bookmarkEnd w:id="36"/>
    </w:p>
    <w:p w:rsidR="008F32F1" w:rsidRDefault="008F32F1" w:rsidP="008F32F1">
      <w:pPr>
        <w:pStyle w:val="Heading2"/>
      </w:pPr>
      <w:bookmarkStart w:id="37" w:name="_Toc23781698"/>
      <w:r>
        <w:t>Des solutions à portée de main…</w:t>
      </w:r>
      <w:bookmarkEnd w:id="37"/>
    </w:p>
    <w:p w:rsidR="003C3334" w:rsidRDefault="008F32F1" w:rsidP="008F5985">
      <w:r>
        <w:t>Comme nous l’avons vu précédemment, la majorité des situations de discrimination</w:t>
      </w:r>
      <w:r w:rsidR="002C7E6F">
        <w:t>,</w:t>
      </w:r>
      <w:r>
        <w:t xml:space="preserve"> indirecte et systémique</w:t>
      </w:r>
      <w:r w:rsidR="002C7E6F">
        <w:t>,</w:t>
      </w:r>
      <w:r>
        <w:t xml:space="preserve"> vécues par les citoyens montréalais ayant des limitations fonctionnelles</w:t>
      </w:r>
      <w:r w:rsidR="004A6EA7">
        <w:t>,</w:t>
      </w:r>
      <w:r>
        <w:t xml:space="preserve"> sont le résultat des nombreux obstacles à l’accessibilité auxquels </w:t>
      </w:r>
      <w:r w:rsidR="00F939EE">
        <w:t>ils</w:t>
      </w:r>
      <w:r>
        <w:t xml:space="preserve"> sont confrontés, dans tous les aspects de leur vie quotidienne. Ainsi, si la Ville de Montréal veut agir efficacement pour éliminer une grande partie des situations de discrimination dont sont victimes les personnes ayant des limitations fonctionnelles, elle devra </w:t>
      </w:r>
      <w:r>
        <w:lastRenderedPageBreak/>
        <w:t>obligatoirement poser tous les gestes et adopter toutes les mesures nécessaires pour réduire significativem</w:t>
      </w:r>
      <w:r w:rsidR="003C3334">
        <w:t>ent le nombre de ces obstacles.</w:t>
      </w:r>
    </w:p>
    <w:p w:rsidR="008F32F1" w:rsidRDefault="008F32F1" w:rsidP="008F5985">
      <w:r>
        <w:t xml:space="preserve">Pour ce faire, l’administration municipale devra utiliser tous les </w:t>
      </w:r>
      <w:r w:rsidR="003C3334">
        <w:t>moyens (</w:t>
      </w:r>
      <w:r>
        <w:t>outils, politiques et dispositions législatives</w:t>
      </w:r>
      <w:r w:rsidR="003C3334">
        <w:t>)</w:t>
      </w:r>
      <w:r>
        <w:t xml:space="preserve"> </w:t>
      </w:r>
      <w:r w:rsidR="003C3334">
        <w:t xml:space="preserve">dont la Ville dispose déjà afin de relever ce défi. </w:t>
      </w:r>
    </w:p>
    <w:p w:rsidR="008F32F1" w:rsidRDefault="008F32F1" w:rsidP="008F5985">
      <w:r>
        <w:t xml:space="preserve">Tout d’abord, selon </w:t>
      </w:r>
      <w:r w:rsidRPr="0087155C">
        <w:t xml:space="preserve">l’article 61.1 de la </w:t>
      </w:r>
      <w:hyperlink r:id="rId21" w:anchor="20160718" w:history="1">
        <w:r w:rsidRPr="003B4DCA">
          <w:rPr>
            <w:rStyle w:val="Hyperlink"/>
          </w:rPr>
          <w:t>Loi assurant l’exercice des droits des personnes handicapées en vue de leur intégration scolaire, professionnelle et sociale</w:t>
        </w:r>
      </w:hyperlink>
      <w:r>
        <w:t xml:space="preserve">, </w:t>
      </w:r>
      <w:r w:rsidRPr="0087155C">
        <w:t>chaque municipalité locale d’au moins 15</w:t>
      </w:r>
      <w:r>
        <w:t> </w:t>
      </w:r>
      <w:r w:rsidRPr="0087155C">
        <w:t>000 habitants a l’obligation de produire</w:t>
      </w:r>
      <w:r>
        <w:t xml:space="preserve"> annuellement</w:t>
      </w:r>
      <w:r w:rsidRPr="0087155C">
        <w:t>, d’adopter et de rendre public un plan d’action</w:t>
      </w:r>
      <w:r>
        <w:t xml:space="preserve"> à l’égard des personnes handicapées</w:t>
      </w:r>
      <w:r w:rsidR="00ED529C">
        <w:t>,</w:t>
      </w:r>
      <w:r>
        <w:t xml:space="preserve"> qui </w:t>
      </w:r>
      <w:r w:rsidRPr="0087155C">
        <w:t xml:space="preserve">vise </w:t>
      </w:r>
      <w:r>
        <w:t xml:space="preserve">à mettre </w:t>
      </w:r>
      <w:r w:rsidRPr="0087155C">
        <w:t xml:space="preserve">en place et </w:t>
      </w:r>
      <w:r>
        <w:t xml:space="preserve">à réaliser </w:t>
      </w:r>
      <w:r w:rsidRPr="0087155C">
        <w:t>de</w:t>
      </w:r>
      <w:r>
        <w:t>s</w:t>
      </w:r>
      <w:r w:rsidRPr="0087155C">
        <w:t xml:space="preserve"> </w:t>
      </w:r>
      <w:r>
        <w:t xml:space="preserve">actions </w:t>
      </w:r>
      <w:r w:rsidRPr="0087155C">
        <w:t>concrètes</w:t>
      </w:r>
      <w:r>
        <w:t>,</w:t>
      </w:r>
      <w:r w:rsidRPr="0087155C">
        <w:t xml:space="preserve"> afin de réduire les obstacles à </w:t>
      </w:r>
      <w:r w:rsidR="00ED529C">
        <w:t xml:space="preserve">leur </w:t>
      </w:r>
      <w:r w:rsidRPr="0087155C">
        <w:t>participation sociale.</w:t>
      </w:r>
      <w:r>
        <w:t xml:space="preserve"> Ce plan d’action, dont l’élaboration devrait résulter d’un processus de consultation rigoureux et d’une étroite collaboration avec tous les acteurs impliqués dans sa réalisation (unités administratives, partenaires communautaires, etc.), constitue un levier important pour favoriser l’inclusion des personnes ayant des limitations fonctionnelles, et conséquemment, pour éliminer </w:t>
      </w:r>
      <w:r w:rsidR="000061C8">
        <w:t xml:space="preserve">une bonne partie des </w:t>
      </w:r>
      <w:r>
        <w:t xml:space="preserve">situations de discrimination dont elles sont victimes. </w:t>
      </w:r>
    </w:p>
    <w:p w:rsidR="008F32F1" w:rsidRDefault="008F32F1" w:rsidP="008F5985">
      <w:r>
        <w:t xml:space="preserve">Par ailleurs, en 2011, la Ville de Montréal a adopté une </w:t>
      </w:r>
      <w:hyperlink r:id="rId22" w:history="1">
        <w:r w:rsidRPr="00E14AA8">
          <w:rPr>
            <w:rStyle w:val="Hyperlink"/>
          </w:rPr>
          <w:t>Politique municipale d’accessibilité universelle</w:t>
        </w:r>
      </w:hyperlink>
      <w:r>
        <w:t>, dans le but de « faire de Montréal une ville universellement accessible ». La Ville s’est alors engagée à</w:t>
      </w:r>
      <w:r w:rsidR="001364DB">
        <w:t> :</w:t>
      </w:r>
      <w:r>
        <w:t xml:space="preserve"> </w:t>
      </w:r>
    </w:p>
    <w:p w:rsidR="008F32F1" w:rsidRPr="00ED529C" w:rsidRDefault="008F32F1" w:rsidP="00C9625D">
      <w:pPr>
        <w:numPr>
          <w:ilvl w:val="0"/>
          <w:numId w:val="27"/>
        </w:numPr>
      </w:pPr>
      <w:r w:rsidRPr="00ED529C">
        <w:t>Assumer un leadership</w:t>
      </w:r>
      <w:r w:rsidR="002C7E6F">
        <w:t>.</w:t>
      </w:r>
    </w:p>
    <w:p w:rsidR="008F32F1" w:rsidRPr="00ED529C" w:rsidRDefault="008F32F1" w:rsidP="00C9625D">
      <w:pPr>
        <w:numPr>
          <w:ilvl w:val="0"/>
          <w:numId w:val="27"/>
        </w:numPr>
      </w:pPr>
      <w:r w:rsidRPr="00ED529C">
        <w:t>Intégrer l’accessibilité universelle à toutes les étapes de décisions et de mise en œuvre des diverses activités municipales</w:t>
      </w:r>
      <w:r w:rsidR="002C7E6F">
        <w:t>.</w:t>
      </w:r>
    </w:p>
    <w:p w:rsidR="008F32F1" w:rsidRPr="00ED529C" w:rsidRDefault="008F32F1" w:rsidP="00C9625D">
      <w:pPr>
        <w:numPr>
          <w:ilvl w:val="0"/>
          <w:numId w:val="27"/>
        </w:numPr>
      </w:pPr>
      <w:r w:rsidRPr="00ED529C">
        <w:t>Veiller à la cohérence et à la complémentarité de l’ensemble des interventions</w:t>
      </w:r>
      <w:r w:rsidR="002C7E6F">
        <w:t>.</w:t>
      </w:r>
    </w:p>
    <w:p w:rsidR="008F32F1" w:rsidRPr="00ED529C" w:rsidRDefault="008F32F1" w:rsidP="00C9625D">
      <w:pPr>
        <w:numPr>
          <w:ilvl w:val="0"/>
          <w:numId w:val="27"/>
        </w:numPr>
      </w:pPr>
      <w:r w:rsidRPr="00ED529C">
        <w:t>Soutenir le partage d’expertises et valoriser l’innovation dans une perspective d’amélioration continue</w:t>
      </w:r>
      <w:r w:rsidR="002C7E6F">
        <w:t>.</w:t>
      </w:r>
    </w:p>
    <w:p w:rsidR="008F32F1" w:rsidRPr="00ED529C" w:rsidRDefault="008F32F1" w:rsidP="00C9625D">
      <w:pPr>
        <w:numPr>
          <w:ilvl w:val="0"/>
          <w:numId w:val="27"/>
        </w:numPr>
      </w:pPr>
      <w:r w:rsidRPr="00ED529C">
        <w:t>Favoriser un partenariat actif avec les organismes du milieu</w:t>
      </w:r>
      <w:r w:rsidR="002C7E6F">
        <w:t>.</w:t>
      </w:r>
    </w:p>
    <w:p w:rsidR="009D4EF2" w:rsidRDefault="008F32F1" w:rsidP="00C9625D">
      <w:pPr>
        <w:numPr>
          <w:ilvl w:val="0"/>
          <w:numId w:val="27"/>
        </w:numPr>
      </w:pPr>
      <w:r w:rsidRPr="00ED529C">
        <w:t>Adopter et rendre publics les plans d’action conjoints et les bilans des réalisations</w:t>
      </w:r>
      <w:r w:rsidR="009D4EF2">
        <w:t xml:space="preserve">. </w:t>
      </w:r>
    </w:p>
    <w:p w:rsidR="008F32F1" w:rsidRDefault="008F32F1" w:rsidP="008F5985">
      <w:r>
        <w:t xml:space="preserve">En outre, après le Sommet de Montréal de 2002, la Ville a tissé des liens privilégiés avec </w:t>
      </w:r>
      <w:r w:rsidRPr="003C3334">
        <w:t xml:space="preserve">plusieurs organismes du milieu associatif des personnes ayant des limitations fonctionnelles, qui l’ont accompagnée dans la détermination </w:t>
      </w:r>
      <w:r>
        <w:t>des besoins et dans la recherche de solutions pertinentes, afin de rédui</w:t>
      </w:r>
      <w:r w:rsidR="000061C8">
        <w:t xml:space="preserve">re ou d’éliminer les obstacles à l’inclusion et à la </w:t>
      </w:r>
      <w:r w:rsidR="00C673A7">
        <w:t>participation</w:t>
      </w:r>
      <w:r w:rsidR="000061C8">
        <w:t xml:space="preserve"> sociale. </w:t>
      </w:r>
    </w:p>
    <w:p w:rsidR="008F32F1" w:rsidRDefault="008F32F1" w:rsidP="008F5985">
      <w:r>
        <w:t xml:space="preserve">Aussi, forte de sa Politique d’accessibilité universelle, en renforçant ses liens de collaboration avec le milieu associatif des personnes ayant des limitations fonctionnelles, qui possède un niveau d’expertise et de connaissances incomparable, la </w:t>
      </w:r>
      <w:r>
        <w:lastRenderedPageBreak/>
        <w:t xml:space="preserve">Ville de Montréal aurait les moyens d’honorer ses engagements en élaborant et en mettant en œuvre un plan d’action à la hauteur de ses ambitions, et à la mesure de ses responsabilités envers sa population. </w:t>
      </w:r>
    </w:p>
    <w:p w:rsidR="008F32F1" w:rsidRPr="00020B21" w:rsidRDefault="0057674E" w:rsidP="008F5985">
      <w:r>
        <w:t>Du reste</w:t>
      </w:r>
      <w:r w:rsidR="008F32F1">
        <w:t xml:space="preserve">, dans le cadre de la consultation sur le projet de plan d’action en accessibilité universelle 2019-2020, les partenaires communautaires se sont encore largement mobilisés autour de cette démarche, et ont formulé de nombreuses recommandations qui gagneraient à être suivies. </w:t>
      </w:r>
    </w:p>
    <w:p w:rsidR="008F32F1" w:rsidRDefault="008F32F1" w:rsidP="008F32F1">
      <w:pPr>
        <w:pStyle w:val="Heading2"/>
      </w:pPr>
      <w:bookmarkStart w:id="38" w:name="_Toc23781699"/>
      <w:r>
        <w:t>Quelques recommandations spécifiques</w:t>
      </w:r>
      <w:bookmarkEnd w:id="38"/>
    </w:p>
    <w:p w:rsidR="008F32F1" w:rsidRDefault="008F32F1" w:rsidP="008F5985">
      <w:r>
        <w:t xml:space="preserve">En réponse à </w:t>
      </w:r>
      <w:r w:rsidR="007D44FE">
        <w:t xml:space="preserve">quelques constats et </w:t>
      </w:r>
      <w:r>
        <w:t xml:space="preserve">situations de discrimination présentés </w:t>
      </w:r>
      <w:r w:rsidR="007302C7">
        <w:t xml:space="preserve">précédemment </w:t>
      </w:r>
      <w:r>
        <w:t xml:space="preserve">dans ce mémoire, voici quelques recommandations spécifiques, qui pourraient guider la Ville de Montréal dans sa recherche de solutions pour éliminer la discrimination systémique à l’égard des personnes ayant des limitations fonctionnelles. </w:t>
      </w:r>
    </w:p>
    <w:p w:rsidR="008F32F1" w:rsidRPr="00646F62" w:rsidRDefault="007D44FE" w:rsidP="008F5985">
      <w:r>
        <w:t xml:space="preserve">Un grand nombre </w:t>
      </w:r>
      <w:r w:rsidR="0057674E">
        <w:t>de c</w:t>
      </w:r>
      <w:r w:rsidR="008F32F1" w:rsidRPr="00646F62">
        <w:t xml:space="preserve">es recommandations </w:t>
      </w:r>
      <w:r>
        <w:t xml:space="preserve">ont déjà été formulées dans </w:t>
      </w:r>
      <w:hyperlink r:id="rId23" w:history="1">
        <w:r w:rsidRPr="00AB3086">
          <w:rPr>
            <w:rStyle w:val="Hyperlink"/>
          </w:rPr>
          <w:t xml:space="preserve">le </w:t>
        </w:r>
        <w:r w:rsidR="00AB3086" w:rsidRPr="00AB3086">
          <w:rPr>
            <w:rStyle w:val="Hyperlink"/>
          </w:rPr>
          <w:t>m</w:t>
        </w:r>
        <w:r w:rsidR="008F32F1" w:rsidRPr="00AB3086">
          <w:rPr>
            <w:rStyle w:val="Hyperlink"/>
          </w:rPr>
          <w:t>émoire</w:t>
        </w:r>
      </w:hyperlink>
      <w:r w:rsidR="008F32F1" w:rsidRPr="00646F62">
        <w:t xml:space="preserve"> produit par DéPhy Montréal</w:t>
      </w:r>
      <w:r w:rsidR="008F32F1">
        <w:t>,</w:t>
      </w:r>
      <w:r w:rsidR="008F32F1" w:rsidRPr="00646F62">
        <w:t xml:space="preserve"> en novembre 2018</w:t>
      </w:r>
      <w:r w:rsidR="008F32F1">
        <w:t>,</w:t>
      </w:r>
      <w:r w:rsidR="008F32F1" w:rsidRPr="00646F62">
        <w:t xml:space="preserve"> dans le cadre de la consultation publique organisée par le Service de la diversité et de l’inclusion sociale</w:t>
      </w:r>
      <w:r w:rsidR="0057674E">
        <w:t>,</w:t>
      </w:r>
      <w:r w:rsidR="008F32F1" w:rsidRPr="00646F62">
        <w:t xml:space="preserve"> sur </w:t>
      </w:r>
      <w:r w:rsidR="0057674E">
        <w:t xml:space="preserve">son </w:t>
      </w:r>
      <w:r w:rsidR="008F32F1" w:rsidRPr="00646F62">
        <w:t xml:space="preserve">projet de plan d’action en accessibilité universelle 2019-2020. </w:t>
      </w:r>
    </w:p>
    <w:p w:rsidR="008F32F1" w:rsidRDefault="008F32F1" w:rsidP="008F32F1">
      <w:pPr>
        <w:pStyle w:val="Heading3"/>
      </w:pPr>
      <w:r>
        <w:t>Leadership municipal</w:t>
      </w:r>
    </w:p>
    <w:p w:rsidR="009F3C69" w:rsidRPr="0057674E" w:rsidRDefault="009F3C69" w:rsidP="00C9625D">
      <w:pPr>
        <w:numPr>
          <w:ilvl w:val="0"/>
          <w:numId w:val="28"/>
        </w:numPr>
      </w:pPr>
      <w:r w:rsidRPr="0057674E">
        <w:t xml:space="preserve">Que l’accessibilité universelle </w:t>
      </w:r>
      <w:r w:rsidR="00CC145A">
        <w:t xml:space="preserve">(A.U.) </w:t>
      </w:r>
      <w:r w:rsidRPr="0057674E">
        <w:t xml:space="preserve">soit clairement identifiée comme étant une priorité de la Ville de Montréal pour les prochaines années. </w:t>
      </w:r>
    </w:p>
    <w:p w:rsidR="008F32F1" w:rsidRPr="0057674E" w:rsidRDefault="008F32F1" w:rsidP="00C9625D">
      <w:pPr>
        <w:numPr>
          <w:ilvl w:val="0"/>
          <w:numId w:val="28"/>
        </w:numPr>
      </w:pPr>
      <w:r w:rsidRPr="0057674E">
        <w:t xml:space="preserve">Que la Ville fasse la promotion de l’accessibilité universelle auprès de tous ses partenaires (institutionnels, économiques et communautaires), et qu’elle renforce le développement ou le maintien de partenariats ayant un impact positif sur la mise en accessibilité de la Ville. </w:t>
      </w:r>
    </w:p>
    <w:p w:rsidR="009F3C69" w:rsidRPr="0057674E" w:rsidRDefault="009F3C69" w:rsidP="00C9625D">
      <w:pPr>
        <w:numPr>
          <w:ilvl w:val="0"/>
          <w:numId w:val="28"/>
        </w:numPr>
      </w:pPr>
      <w:r w:rsidRPr="0057674E">
        <w:t xml:space="preserve">Que dans le dossier de l’accessibilité universelle, y compris pour l’élaboration </w:t>
      </w:r>
      <w:r w:rsidR="00CC145A">
        <w:t xml:space="preserve">de son </w:t>
      </w:r>
      <w:r w:rsidRPr="0057674E">
        <w:t xml:space="preserve">prochain plan d’action, la Ville de Montréal travaille en étroite collaboration avec les organismes communautaires, notamment ceux qui œuvrent auprès des personnes ayant des limitations fonctionnelles. </w:t>
      </w:r>
    </w:p>
    <w:p w:rsidR="008F32F1" w:rsidRPr="0057674E" w:rsidRDefault="008F32F1" w:rsidP="00C9625D">
      <w:pPr>
        <w:numPr>
          <w:ilvl w:val="0"/>
          <w:numId w:val="28"/>
        </w:numPr>
      </w:pPr>
      <w:r w:rsidRPr="0057674E">
        <w:t xml:space="preserve">Que toutes les unités administratives soient impliquées dans l’élaboration et dans la mise en œuvre du plan d’action en accessibilité universelle, y compris en termes de ressources humaines et financières. </w:t>
      </w:r>
    </w:p>
    <w:p w:rsidR="008F32F1" w:rsidRPr="001B3DFB" w:rsidRDefault="008F32F1" w:rsidP="008F32F1">
      <w:pPr>
        <w:pStyle w:val="Heading3"/>
      </w:pPr>
      <w:r w:rsidRPr="001B3DFB">
        <w:t xml:space="preserve">Activités de sensibilisation </w:t>
      </w:r>
      <w:r>
        <w:t>et</w:t>
      </w:r>
      <w:r w:rsidRPr="001B3DFB">
        <w:t xml:space="preserve"> </w:t>
      </w:r>
      <w:r w:rsidR="0024137D" w:rsidRPr="001B3DFB">
        <w:t>formation</w:t>
      </w:r>
      <w:r w:rsidR="003C3334">
        <w:t xml:space="preserve"> </w:t>
      </w:r>
      <w:r w:rsidR="0024137D">
        <w:t>des</w:t>
      </w:r>
      <w:r>
        <w:t xml:space="preserve"> employés municipaux</w:t>
      </w:r>
    </w:p>
    <w:p w:rsidR="008F32F1" w:rsidRPr="00971B49" w:rsidRDefault="008F32F1" w:rsidP="00C9625D">
      <w:pPr>
        <w:numPr>
          <w:ilvl w:val="0"/>
          <w:numId w:val="29"/>
        </w:numPr>
      </w:pPr>
      <w:r w:rsidRPr="00971B49">
        <w:t xml:space="preserve">Que tous les employés municipaux reçoivent une formation générale sur l’accessibilité universelle et sur le </w:t>
      </w:r>
      <w:r w:rsidRPr="005632F7">
        <w:t>processus de production du handicap</w:t>
      </w:r>
      <w:r w:rsidR="005632F7">
        <w:t xml:space="preserve"> (cf.</w:t>
      </w:r>
      <w:r w:rsidR="001364DB">
        <w:t> :</w:t>
      </w:r>
      <w:r w:rsidR="005632F7">
        <w:t xml:space="preserve"> annexe 3)</w:t>
      </w:r>
      <w:r w:rsidRPr="00971B49">
        <w:t xml:space="preserve">. </w:t>
      </w:r>
    </w:p>
    <w:p w:rsidR="009D4EF2" w:rsidRDefault="008F32F1" w:rsidP="00C9625D">
      <w:pPr>
        <w:numPr>
          <w:ilvl w:val="0"/>
          <w:numId w:val="29"/>
        </w:numPr>
      </w:pPr>
      <w:r w:rsidRPr="00971B49">
        <w:lastRenderedPageBreak/>
        <w:t>Que les employés municipaux reçoivent une ou plusieurs formations spécialisées sur l’A.U., adaptée à leurs fonctions (ex.</w:t>
      </w:r>
      <w:r w:rsidR="001364DB">
        <w:t> :</w:t>
      </w:r>
      <w:r w:rsidRPr="00971B49">
        <w:t xml:space="preserve"> accueil des personnes</w:t>
      </w:r>
      <w:r w:rsidR="00681FC0">
        <w:t xml:space="preserve"> ayant des limitations fonctionnelles</w:t>
      </w:r>
      <w:r w:rsidRPr="00971B49">
        <w:t>, production de documents accessibles, conception d’environnements accessibles, etc.)</w:t>
      </w:r>
      <w:r w:rsidR="009D4EF2">
        <w:t xml:space="preserve">. </w:t>
      </w:r>
    </w:p>
    <w:p w:rsidR="009D4EF2" w:rsidRDefault="008F32F1" w:rsidP="00C9625D">
      <w:pPr>
        <w:numPr>
          <w:ilvl w:val="0"/>
          <w:numId w:val="29"/>
        </w:numPr>
      </w:pPr>
      <w:r w:rsidRPr="00971B49">
        <w:t xml:space="preserve">Que les formations en A.U. soient </w:t>
      </w:r>
      <w:r w:rsidR="003940EE">
        <w:t xml:space="preserve">obligatoires et </w:t>
      </w:r>
      <w:r w:rsidRPr="00971B49">
        <w:t>dispensées périodiquement (ex.</w:t>
      </w:r>
      <w:r w:rsidR="001364DB">
        <w:t> :</w:t>
      </w:r>
      <w:r w:rsidRPr="00971B49">
        <w:t xml:space="preserve"> annuellement) aux employés municipaux</w:t>
      </w:r>
      <w:r w:rsidR="009D4EF2">
        <w:t xml:space="preserve">. </w:t>
      </w:r>
    </w:p>
    <w:p w:rsidR="008F32F1" w:rsidRPr="00971B49" w:rsidRDefault="008F32F1" w:rsidP="00C9625D">
      <w:pPr>
        <w:numPr>
          <w:ilvl w:val="0"/>
          <w:numId w:val="29"/>
        </w:numPr>
      </w:pPr>
      <w:r w:rsidRPr="00971B49">
        <w:t>Que les contenus des formations relatives à l’A.U. soient révisés sur une base régulière, pour s’assurer de répondre adéquatement aux objectifs visés, et pour refléter l’évolution des objectifs, des besoins et des connaissances (ex.</w:t>
      </w:r>
      <w:r w:rsidR="001364DB">
        <w:t> :</w:t>
      </w:r>
      <w:r w:rsidRPr="00971B49">
        <w:t xml:space="preserve"> bonnes pratiques, technologies, etc.). </w:t>
      </w:r>
    </w:p>
    <w:p w:rsidR="008F32F1" w:rsidRDefault="008F32F1" w:rsidP="008F32F1">
      <w:pPr>
        <w:pStyle w:val="Heading3"/>
      </w:pPr>
      <w:r>
        <w:t>Aménagement du territoire – Aménagements extérieurs</w:t>
      </w:r>
    </w:p>
    <w:p w:rsidR="00D559E1" w:rsidRPr="002E47D6" w:rsidRDefault="00D559E1" w:rsidP="00C9625D">
      <w:pPr>
        <w:numPr>
          <w:ilvl w:val="0"/>
          <w:numId w:val="30"/>
        </w:numPr>
      </w:pPr>
      <w:r w:rsidRPr="002E47D6">
        <w:t xml:space="preserve">Que </w:t>
      </w:r>
      <w:r w:rsidR="00167DB7">
        <w:t xml:space="preserve">les </w:t>
      </w:r>
      <w:r w:rsidRPr="002E47D6">
        <w:t>normes de conception universelle</w:t>
      </w:r>
      <w:r w:rsidR="00D411DA">
        <w:t>, ainsi que les bonnes pratiques,</w:t>
      </w:r>
      <w:r w:rsidRPr="002E47D6">
        <w:t xml:space="preserve"> soient prises en compte</w:t>
      </w:r>
      <w:r w:rsidR="00ED4520" w:rsidRPr="002E47D6">
        <w:t>,</w:t>
      </w:r>
      <w:r w:rsidRPr="002E47D6">
        <w:t xml:space="preserve"> </w:t>
      </w:r>
      <w:r w:rsidR="00ED4520" w:rsidRPr="002E47D6">
        <w:t xml:space="preserve">et respectées, dans </w:t>
      </w:r>
      <w:r w:rsidRPr="002E47D6">
        <w:t>tou</w:t>
      </w:r>
      <w:r w:rsidR="00ED4520" w:rsidRPr="002E47D6">
        <w:t>s</w:t>
      </w:r>
      <w:r w:rsidRPr="002E47D6">
        <w:t xml:space="preserve"> </w:t>
      </w:r>
      <w:r w:rsidR="00ED4520" w:rsidRPr="002E47D6">
        <w:t xml:space="preserve">les </w:t>
      </w:r>
      <w:r w:rsidRPr="002E47D6">
        <w:t>projet</w:t>
      </w:r>
      <w:r w:rsidR="00ED4520" w:rsidRPr="002E47D6">
        <w:t>s</w:t>
      </w:r>
      <w:r w:rsidRPr="002E47D6">
        <w:t xml:space="preserve"> d’aménagement </w:t>
      </w:r>
      <w:r w:rsidR="00ED4520" w:rsidRPr="002E47D6">
        <w:t xml:space="preserve">extérieur </w:t>
      </w:r>
      <w:r w:rsidRPr="002E47D6">
        <w:t>(ex.</w:t>
      </w:r>
      <w:r w:rsidR="001364DB">
        <w:t> :</w:t>
      </w:r>
      <w:r w:rsidRPr="002E47D6">
        <w:t xml:space="preserve"> pistes cyclables, parcs, etc.). </w:t>
      </w:r>
    </w:p>
    <w:p w:rsidR="00ED4520" w:rsidRPr="002E47D6" w:rsidRDefault="00ED4520" w:rsidP="00C9625D">
      <w:pPr>
        <w:numPr>
          <w:ilvl w:val="0"/>
          <w:numId w:val="30"/>
        </w:numPr>
      </w:pPr>
      <w:r w:rsidRPr="002E47D6">
        <w:t xml:space="preserve">Que les </w:t>
      </w:r>
      <w:r w:rsidR="002E47D6" w:rsidRPr="002E47D6">
        <w:t xml:space="preserve">bonnes pratiques en matière de signalisation et de sécurisation des chantiers soient systématiquement appliquées. </w:t>
      </w:r>
    </w:p>
    <w:p w:rsidR="008F32F1" w:rsidRPr="002E47D6" w:rsidRDefault="008F32F1" w:rsidP="00C9625D">
      <w:pPr>
        <w:numPr>
          <w:ilvl w:val="0"/>
          <w:numId w:val="30"/>
        </w:numPr>
      </w:pPr>
      <w:r w:rsidRPr="002E47D6">
        <w:t xml:space="preserve">Que la </w:t>
      </w:r>
      <w:r w:rsidR="000D3C33" w:rsidRPr="002E47D6">
        <w:t xml:space="preserve">prochaine </w:t>
      </w:r>
      <w:r w:rsidRPr="002E47D6">
        <w:t xml:space="preserve">politique de déneigement </w:t>
      </w:r>
      <w:r w:rsidR="003F0512" w:rsidRPr="002E47D6">
        <w:t xml:space="preserve">rende obligatoire le </w:t>
      </w:r>
      <w:r w:rsidRPr="002E47D6">
        <w:t>déneige</w:t>
      </w:r>
      <w:r w:rsidR="003F0512" w:rsidRPr="002E47D6">
        <w:t>ment</w:t>
      </w:r>
      <w:r w:rsidRPr="002E47D6">
        <w:t xml:space="preserve"> </w:t>
      </w:r>
      <w:r w:rsidR="003F0512" w:rsidRPr="002E47D6">
        <w:t>d</w:t>
      </w:r>
      <w:r w:rsidRPr="002E47D6">
        <w:t xml:space="preserve">es débarcadères en même temps que </w:t>
      </w:r>
      <w:r w:rsidR="003F0512" w:rsidRPr="002E47D6">
        <w:t>celui d</w:t>
      </w:r>
      <w:r w:rsidRPr="002E47D6">
        <w:t>es trottoirs adjacents</w:t>
      </w:r>
      <w:r w:rsidR="00B10E0B" w:rsidRPr="002E47D6">
        <w:t xml:space="preserve">, </w:t>
      </w:r>
      <w:r w:rsidR="003F0512" w:rsidRPr="002E47D6">
        <w:t>ainsi que le dégagement complet d</w:t>
      </w:r>
      <w:r w:rsidR="00B10E0B" w:rsidRPr="002E47D6">
        <w:t>es bateaux-pavés</w:t>
      </w:r>
      <w:r w:rsidRPr="002E47D6">
        <w:t xml:space="preserve">. En outre, afin de favoriser l’utilisation du réseau régulier de transport collectif, qu’une attention particulière soit accordée aux abords </w:t>
      </w:r>
      <w:r w:rsidR="0073493A" w:rsidRPr="002E47D6">
        <w:t xml:space="preserve">des édicules de métro et </w:t>
      </w:r>
      <w:r w:rsidRPr="002E47D6">
        <w:t xml:space="preserve">des </w:t>
      </w:r>
      <w:r w:rsidR="007942D1" w:rsidRPr="002E47D6">
        <w:t xml:space="preserve">arrêts </w:t>
      </w:r>
      <w:r w:rsidRPr="002E47D6">
        <w:t>d’autobus</w:t>
      </w:r>
      <w:r w:rsidR="0073493A" w:rsidRPr="002E47D6">
        <w:t xml:space="preserve">, </w:t>
      </w:r>
      <w:r w:rsidR="00FB60F9">
        <w:t xml:space="preserve">afin de </w:t>
      </w:r>
      <w:r w:rsidR="0073493A" w:rsidRPr="002E47D6">
        <w:t xml:space="preserve">faciliter </w:t>
      </w:r>
      <w:r w:rsidR="002D2820">
        <w:t xml:space="preserve">l’accès au métro, </w:t>
      </w:r>
      <w:r w:rsidR="00D559E1" w:rsidRPr="002E47D6">
        <w:t xml:space="preserve">le débarquement et </w:t>
      </w:r>
      <w:r w:rsidR="0073493A" w:rsidRPr="002E47D6">
        <w:t xml:space="preserve">l’embarquement des </w:t>
      </w:r>
      <w:r w:rsidR="00D559E1" w:rsidRPr="002E47D6">
        <w:t>usagers dans les autobus</w:t>
      </w:r>
      <w:r w:rsidR="0073493A" w:rsidRPr="002E47D6">
        <w:t xml:space="preserve">, ainsi que le déploiement des rampes avant et arrière. </w:t>
      </w:r>
    </w:p>
    <w:p w:rsidR="00EC2A5D" w:rsidRPr="002E47D6" w:rsidRDefault="003F0512" w:rsidP="00C9625D">
      <w:pPr>
        <w:numPr>
          <w:ilvl w:val="0"/>
          <w:numId w:val="30"/>
        </w:numPr>
      </w:pPr>
      <w:r w:rsidRPr="002E47D6">
        <w:t xml:space="preserve">Que la Ville mette en place, dès l’hiver 2019-2020, le </w:t>
      </w:r>
      <w:r w:rsidR="00EC2A5D" w:rsidRPr="002E47D6">
        <w:t xml:space="preserve">service </w:t>
      </w:r>
      <w:r w:rsidRPr="002E47D6">
        <w:t>de déneigement « </w:t>
      </w:r>
      <w:hyperlink r:id="rId24" w:history="1">
        <w:r w:rsidRPr="002E47D6">
          <w:rPr>
            <w:rStyle w:val="Hyperlink"/>
          </w:rPr>
          <w:t>de la porte à la rue</w:t>
        </w:r>
      </w:hyperlink>
      <w:r w:rsidRPr="002E47D6">
        <w:t> » annoncé en février 2019.</w:t>
      </w:r>
      <w:r w:rsidR="002E47D6" w:rsidRPr="002E47D6">
        <w:t xml:space="preserve"> </w:t>
      </w:r>
    </w:p>
    <w:p w:rsidR="008F32F1" w:rsidRDefault="008F32F1" w:rsidP="008F32F1">
      <w:pPr>
        <w:pStyle w:val="Heading3"/>
      </w:pPr>
      <w:r>
        <w:t>Aménagement du territoire – Environnement bâti</w:t>
      </w:r>
    </w:p>
    <w:p w:rsidR="009D4EF2" w:rsidRDefault="008F32F1" w:rsidP="003B26FF">
      <w:pPr>
        <w:numPr>
          <w:ilvl w:val="0"/>
          <w:numId w:val="31"/>
        </w:numPr>
      </w:pPr>
      <w:r w:rsidRPr="002E47D6">
        <w:t>Qu’un portrait complet de l’accessibilité des bâtiments municipaux soit réalisé le plus rapidement possible</w:t>
      </w:r>
      <w:r w:rsidR="009D4EF2">
        <w:t xml:space="preserve">. </w:t>
      </w:r>
    </w:p>
    <w:p w:rsidR="009D4EF2" w:rsidRDefault="008F32F1" w:rsidP="003B26FF">
      <w:pPr>
        <w:numPr>
          <w:ilvl w:val="0"/>
          <w:numId w:val="31"/>
        </w:numPr>
      </w:pPr>
      <w:r w:rsidRPr="002E47D6">
        <w:t>Qu’en se fondant sur le portrait de l’accessibilité des bâtiments municipaux, la Ville de Montréal développe une vision et une stratégie d’intervention cohérente</w:t>
      </w:r>
      <w:r w:rsidR="002D2820">
        <w:t>s</w:t>
      </w:r>
      <w:r w:rsidRPr="002E47D6">
        <w:t>, sur tout son territoire</w:t>
      </w:r>
      <w:r w:rsidR="009D4EF2">
        <w:t xml:space="preserve">. </w:t>
      </w:r>
    </w:p>
    <w:p w:rsidR="009D4EF2" w:rsidRDefault="005652BF" w:rsidP="003B26FF">
      <w:pPr>
        <w:numPr>
          <w:ilvl w:val="0"/>
          <w:numId w:val="31"/>
        </w:numPr>
      </w:pPr>
      <w:r>
        <w:t>Que la Ville de Montréal procède à la révision des plans d’interven</w:t>
      </w:r>
      <w:r w:rsidR="003B26FF">
        <w:t>t</w:t>
      </w:r>
      <w:r>
        <w:t>ion d’urgence dans tous les bâtiments municipaux, et que ces plans tiennent compte des besoins et des conditions d’évacuation des personnes</w:t>
      </w:r>
      <w:r w:rsidR="009F7104">
        <w:t xml:space="preserve"> ayant des limitations </w:t>
      </w:r>
      <w:r w:rsidR="009F7104">
        <w:lastRenderedPageBreak/>
        <w:t>fonctionnelles</w:t>
      </w:r>
      <w:r>
        <w:t xml:space="preserve">, y compris </w:t>
      </w:r>
      <w:r w:rsidR="001E0041">
        <w:t xml:space="preserve">en cas de </w:t>
      </w:r>
      <w:r w:rsidR="009F7104">
        <w:t xml:space="preserve">coupure d’électricité, </w:t>
      </w:r>
      <w:r w:rsidR="001E0041">
        <w:t xml:space="preserve">de </w:t>
      </w:r>
      <w:r w:rsidR="009F7104">
        <w:t xml:space="preserve">panne d’ascenseur, etc. </w:t>
      </w:r>
    </w:p>
    <w:p w:rsidR="002E47D6" w:rsidRPr="002E47D6" w:rsidRDefault="00167DB7" w:rsidP="00643130">
      <w:pPr>
        <w:numPr>
          <w:ilvl w:val="0"/>
          <w:numId w:val="31"/>
        </w:numPr>
      </w:pPr>
      <w:r w:rsidRPr="00167DB7">
        <w:t>Que les normes de conception universelle</w:t>
      </w:r>
      <w:r w:rsidR="00D411DA">
        <w:t xml:space="preserve">, ainsi que les bonnes pratiques, </w:t>
      </w:r>
      <w:r w:rsidRPr="00167DB7">
        <w:t xml:space="preserve">soient prises en compte, et respectées, dans tous les </w:t>
      </w:r>
      <w:r w:rsidR="00D411DA">
        <w:t xml:space="preserve">projets </w:t>
      </w:r>
      <w:r w:rsidRPr="00167DB7">
        <w:t xml:space="preserve">d’aménagement </w:t>
      </w:r>
      <w:r w:rsidR="00D411DA">
        <w:t>in</w:t>
      </w:r>
      <w:r w:rsidRPr="00167DB7">
        <w:t>térieur</w:t>
      </w:r>
      <w:r w:rsidR="00D411DA">
        <w:t xml:space="preserve">, y compris lors de </w:t>
      </w:r>
      <w:r w:rsidR="003B26FF">
        <w:t xml:space="preserve">rénovation </w:t>
      </w:r>
      <w:r w:rsidR="003B26FF" w:rsidRPr="00167DB7">
        <w:t>(</w:t>
      </w:r>
      <w:r w:rsidRPr="00167DB7">
        <w:t>ex.</w:t>
      </w:r>
      <w:r w:rsidR="001364DB">
        <w:t> :</w:t>
      </w:r>
      <w:r w:rsidRPr="00167DB7">
        <w:t xml:space="preserve"> </w:t>
      </w:r>
      <w:r w:rsidR="00D411DA">
        <w:t xml:space="preserve">entrées, comptoirs d’accueil, toilettes, </w:t>
      </w:r>
      <w:r w:rsidRPr="00167DB7">
        <w:t xml:space="preserve">etc.). </w:t>
      </w:r>
    </w:p>
    <w:p w:rsidR="008F32F1" w:rsidRDefault="008F32F1" w:rsidP="008F32F1">
      <w:pPr>
        <w:pStyle w:val="Heading3"/>
      </w:pPr>
      <w:r>
        <w:t>Communications et accès à l’information</w:t>
      </w:r>
    </w:p>
    <w:p w:rsidR="008F32F1" w:rsidRPr="003B26FF" w:rsidRDefault="008F32F1" w:rsidP="00076270">
      <w:pPr>
        <w:numPr>
          <w:ilvl w:val="0"/>
          <w:numId w:val="32"/>
        </w:numPr>
      </w:pPr>
      <w:r w:rsidRPr="003B26FF">
        <w:t xml:space="preserve">Que les employés </w:t>
      </w:r>
      <w:r w:rsidR="00DB1D3E" w:rsidRPr="003B26FF">
        <w:t>des services d’urgence (ex.</w:t>
      </w:r>
      <w:r w:rsidR="001364DB">
        <w:t> :</w:t>
      </w:r>
      <w:r w:rsidR="00DB1D3E" w:rsidRPr="003B26FF">
        <w:t xml:space="preserve"> Service de police, Service de sécurité incendie, etc.)</w:t>
      </w:r>
      <w:r w:rsidRPr="003B26FF">
        <w:t xml:space="preserve"> reçoivent une formation </w:t>
      </w:r>
      <w:r w:rsidR="00332A79" w:rsidRPr="003B26FF">
        <w:t xml:space="preserve">obligatoire </w:t>
      </w:r>
      <w:r w:rsidRPr="003B26FF">
        <w:t xml:space="preserve">leur permettant de mener des interventions exemptes de discrimination et de préjugés. </w:t>
      </w:r>
    </w:p>
    <w:p w:rsidR="009D4EF2" w:rsidRPr="003B26FF" w:rsidRDefault="008F32F1" w:rsidP="00076270">
      <w:pPr>
        <w:numPr>
          <w:ilvl w:val="0"/>
          <w:numId w:val="32"/>
        </w:numPr>
      </w:pPr>
      <w:r w:rsidRPr="003B26FF">
        <w:t xml:space="preserve">Que les </w:t>
      </w:r>
      <w:r w:rsidR="0003460E">
        <w:t>normes d’</w:t>
      </w:r>
      <w:r w:rsidR="0003460E" w:rsidRPr="003B26FF">
        <w:t>accessibilité</w:t>
      </w:r>
      <w:r w:rsidR="0003460E">
        <w:t xml:space="preserve">, ainsi que les </w:t>
      </w:r>
      <w:r w:rsidRPr="003B26FF">
        <w:t>bonnes pratiques</w:t>
      </w:r>
      <w:r w:rsidR="0003460E">
        <w:t>,</w:t>
      </w:r>
      <w:r w:rsidRPr="003B26FF">
        <w:t xml:space="preserve"> soient </w:t>
      </w:r>
      <w:r w:rsidR="0003460E">
        <w:t xml:space="preserve">prises en compte, et respectées, </w:t>
      </w:r>
      <w:r w:rsidRPr="003B26FF">
        <w:t>pour tous les documents imprimables produits par les unités administratives de la Ville</w:t>
      </w:r>
      <w:r w:rsidR="009D4EF2" w:rsidRPr="003B26FF">
        <w:t xml:space="preserve">. </w:t>
      </w:r>
    </w:p>
    <w:p w:rsidR="008F32F1" w:rsidRPr="003B26FF" w:rsidRDefault="008F32F1" w:rsidP="00076270">
      <w:pPr>
        <w:numPr>
          <w:ilvl w:val="0"/>
          <w:numId w:val="32"/>
        </w:numPr>
      </w:pPr>
      <w:r w:rsidRPr="003B26FF">
        <w:t xml:space="preserve">Que les </w:t>
      </w:r>
      <w:r w:rsidR="0003460E">
        <w:t>normes d’</w:t>
      </w:r>
      <w:r w:rsidRPr="003B26FF">
        <w:t>accessibilité du Web</w:t>
      </w:r>
      <w:r w:rsidR="0003460E">
        <w:t>, ainsi que les bonnes pratiques,</w:t>
      </w:r>
      <w:r w:rsidRPr="003B26FF">
        <w:t xml:space="preserve"> soient </w:t>
      </w:r>
      <w:r w:rsidR="0003460E">
        <w:t xml:space="preserve">prises en compte, et </w:t>
      </w:r>
      <w:r w:rsidRPr="003B26FF">
        <w:t>respectées</w:t>
      </w:r>
      <w:r w:rsidR="0003460E">
        <w:t>,</w:t>
      </w:r>
      <w:r w:rsidRPr="003B26FF">
        <w:t xml:space="preserve"> pour tous les sites Web et applications de la Ville. </w:t>
      </w:r>
    </w:p>
    <w:p w:rsidR="008F32F1" w:rsidRDefault="008F32F1" w:rsidP="00076270">
      <w:pPr>
        <w:numPr>
          <w:ilvl w:val="0"/>
          <w:numId w:val="32"/>
        </w:numPr>
      </w:pPr>
      <w:r w:rsidRPr="003B26FF">
        <w:t>Que l’information diffusée par les unités administratives soit offerte en plusieurs formats (médias substi</w:t>
      </w:r>
      <w:r w:rsidR="003C3334">
        <w:t>tuts), pour permettre au</w:t>
      </w:r>
      <w:r w:rsidRPr="003B26FF">
        <w:t xml:space="preserve"> plus grand nombre de citoyens d’y avoir accès. </w:t>
      </w:r>
    </w:p>
    <w:p w:rsidR="0003460E" w:rsidRPr="003B26FF" w:rsidRDefault="0003460E" w:rsidP="00076270">
      <w:pPr>
        <w:numPr>
          <w:ilvl w:val="0"/>
          <w:numId w:val="32"/>
        </w:numPr>
      </w:pPr>
      <w:r>
        <w:t xml:space="preserve">Que les informations sur </w:t>
      </w:r>
      <w:r w:rsidR="00076270">
        <w:t xml:space="preserve">les mesures d’accessibilité et les solutions alternatives soient clairement indiquées dans toutes les publications de la Ville, qu’elles soient numériques ou imprimées. </w:t>
      </w:r>
    </w:p>
    <w:p w:rsidR="008F32F1" w:rsidRDefault="008F32F1" w:rsidP="008F32F1">
      <w:pPr>
        <w:pStyle w:val="Heading3"/>
      </w:pPr>
      <w:r>
        <w:t>Emploi</w:t>
      </w:r>
    </w:p>
    <w:p w:rsidR="008F32F1" w:rsidRPr="00076270" w:rsidRDefault="008F32F1" w:rsidP="00FD6AAE">
      <w:pPr>
        <w:numPr>
          <w:ilvl w:val="0"/>
          <w:numId w:val="33"/>
        </w:numPr>
      </w:pPr>
      <w:r w:rsidRPr="00076270">
        <w:t>Que des personnes</w:t>
      </w:r>
      <w:r w:rsidR="00FB60F9">
        <w:t xml:space="preserve"> ayant des limitations fonctionnelles</w:t>
      </w:r>
      <w:r w:rsidRPr="00076270">
        <w:t xml:space="preserve"> et les organismes qui le</w:t>
      </w:r>
      <w:r w:rsidR="003C3334">
        <w:t>s représentent soient impliqué</w:t>
      </w:r>
      <w:r w:rsidRPr="00076270">
        <w:t xml:space="preserve">s dans tout le processus d’identification des obstacles à l’embauche des personnes ayant des limitations fonctionnelles, ainsi que dans le recensement des bonnes pratiques et dans l’élaboration des guides destinés aux employés municipaux. </w:t>
      </w:r>
    </w:p>
    <w:p w:rsidR="008F32F1" w:rsidRPr="00076270" w:rsidRDefault="008F32F1" w:rsidP="00FD6AAE">
      <w:pPr>
        <w:numPr>
          <w:ilvl w:val="0"/>
          <w:numId w:val="33"/>
        </w:numPr>
      </w:pPr>
      <w:r w:rsidRPr="00076270">
        <w:t xml:space="preserve">Que tous les employés municipaux impliqués dans le processus d’embauche, y compris les gestionnaires, participent à des séances de sensibilisation / formation sur l’employabilité des personnes ayant des limitations fonctionnelles. </w:t>
      </w:r>
    </w:p>
    <w:p w:rsidR="008F32F1" w:rsidRPr="00076270" w:rsidRDefault="008F32F1" w:rsidP="00FD6AAE">
      <w:pPr>
        <w:numPr>
          <w:ilvl w:val="0"/>
          <w:numId w:val="33"/>
        </w:numPr>
      </w:pPr>
      <w:r w:rsidRPr="00076270">
        <w:t>Que, pour faciliter l’intégration et le maintien en emploi des personnes</w:t>
      </w:r>
      <w:r w:rsidR="00DD17AD">
        <w:t xml:space="preserve"> ayant des limitations fonctionnelles</w:t>
      </w:r>
      <w:r w:rsidRPr="00076270">
        <w:t xml:space="preserve">, la Ville de Montréal tienne non seulement compte de l’adaptation des postes de travail du point de vue ergonomique ou technologique, mais également des facteurs comme la charge de travail, le nombre d’heures travaillées, les horaires de travail, etc. </w:t>
      </w:r>
    </w:p>
    <w:p w:rsidR="008F32F1" w:rsidRDefault="008F32F1" w:rsidP="00FD6AAE">
      <w:pPr>
        <w:numPr>
          <w:ilvl w:val="0"/>
          <w:numId w:val="33"/>
        </w:numPr>
      </w:pPr>
      <w:r w:rsidRPr="00076270">
        <w:lastRenderedPageBreak/>
        <w:t>Que des personnes</w:t>
      </w:r>
      <w:r w:rsidR="00DD17AD">
        <w:t xml:space="preserve"> ayant des limitations fonctionnelles</w:t>
      </w:r>
      <w:r w:rsidRPr="00076270">
        <w:t xml:space="preserve"> et les </w:t>
      </w:r>
      <w:r w:rsidR="003C3334">
        <w:t>organismes qui les représentent</w:t>
      </w:r>
      <w:r w:rsidRPr="00076270">
        <w:t xml:space="preserve"> participent au recensement des bonnes pratiques en matière d’adaptation des postes de travail et d’accès aux promotions, ainsi qu’à l’élaboration des guides destinés aux employés municipaux. </w:t>
      </w:r>
    </w:p>
    <w:p w:rsidR="003940EE" w:rsidRPr="00076270" w:rsidRDefault="003940EE" w:rsidP="00FD6AAE">
      <w:pPr>
        <w:numPr>
          <w:ilvl w:val="0"/>
          <w:numId w:val="33"/>
        </w:numPr>
      </w:pPr>
      <w:r>
        <w:t>Que la politique d’embauche de la Ville soit révisée</w:t>
      </w:r>
      <w:r w:rsidR="00DD17AD">
        <w:t xml:space="preserve">, afin que des personnes n'ayant pas obtenu un secondaire 5 puissent occuper des postes ne nécessitant pas ce niveau de diplomation. </w:t>
      </w:r>
    </w:p>
    <w:p w:rsidR="008F32F1" w:rsidRDefault="008F32F1" w:rsidP="008F32F1">
      <w:pPr>
        <w:pStyle w:val="Heading1"/>
      </w:pPr>
      <w:bookmarkStart w:id="39" w:name="_Toc23781700"/>
      <w:r>
        <w:t>Conclusion</w:t>
      </w:r>
      <w:bookmarkEnd w:id="39"/>
    </w:p>
    <w:p w:rsidR="008F32F1" w:rsidRDefault="008F32F1" w:rsidP="008F5985">
      <w:r>
        <w:t xml:space="preserve">DéPhy Montréal tient à remercier l’OCPM et les requérants, qui, grâce à </w:t>
      </w:r>
      <w:r w:rsidR="00FD6AAE">
        <w:t>cette initiative</w:t>
      </w:r>
      <w:r>
        <w:t xml:space="preserve">, ont permis aux citoyens montréalais, ainsi qu’aux organismes communautaires, de réfléchir sur la discrimination systémique et de formuler des recommandations. </w:t>
      </w:r>
    </w:p>
    <w:p w:rsidR="008F32F1" w:rsidRPr="00FF145E" w:rsidRDefault="003C3334" w:rsidP="008F5985">
      <w:r>
        <w:t>P</w:t>
      </w:r>
      <w:r w:rsidR="008F32F1" w:rsidRPr="00FF145E">
        <w:t xml:space="preserve">our favoriser l’inclusion et la participation sociale de tous ses citoyens, y compris des personnes </w:t>
      </w:r>
      <w:r w:rsidR="008F32F1">
        <w:t>ayant des limitations fonctionnelles</w:t>
      </w:r>
      <w:r w:rsidR="008F32F1" w:rsidRPr="00FF145E">
        <w:t xml:space="preserve">, tout au long de leur vie, la Ville de Montréal devra tout d’abord se doter d’une vision en matière d’accessibilité universelle. </w:t>
      </w:r>
    </w:p>
    <w:p w:rsidR="008F32F1" w:rsidRPr="00FF145E" w:rsidRDefault="008F32F1" w:rsidP="008F5985">
      <w:r w:rsidRPr="00FF145E">
        <w:t>Par ailleurs, à l’instar des milieux associatifs et académiques, la Ville de Montréal devrait tenir compte de la notion de « chaîne d’accessibilité », également appelée « chaîne de participation sociale »</w:t>
      </w:r>
      <w:r w:rsidR="00257EBF">
        <w:t xml:space="preserve"> (cf.</w:t>
      </w:r>
      <w:r w:rsidR="001364DB">
        <w:t> :</w:t>
      </w:r>
      <w:r w:rsidR="00257EBF">
        <w:t xml:space="preserve"> annexe 4)</w:t>
      </w:r>
      <w:r w:rsidRPr="00FF145E">
        <w:t>, qui permet de considérer l’accessibilité universelle dans sa globalité. En considérant la chaîne de participation sociale, chaque action et chaque intervention s’inscriront dans un ensemble cohérent, ce qui permettra à la Ville de s’assu</w:t>
      </w:r>
      <w:r w:rsidR="0027669A">
        <w:t>rer qu’aucun obstacle ne vienne réduire à néant</w:t>
      </w:r>
      <w:r w:rsidRPr="00FF145E">
        <w:t xml:space="preserve"> les efforts accomplis pour garantir l’accessibilité d’un lieu, d’un programme ou d’un service. </w:t>
      </w:r>
    </w:p>
    <w:p w:rsidR="008F32F1" w:rsidRPr="00FF145E" w:rsidRDefault="008F32F1" w:rsidP="008F5985">
      <w:r w:rsidRPr="00FF145E">
        <w:t xml:space="preserve">Aussi, </w:t>
      </w:r>
      <w:r w:rsidR="0027669A">
        <w:t xml:space="preserve">en poursuivant l’objectif </w:t>
      </w:r>
      <w:r>
        <w:t xml:space="preserve">d’éradication de la discrimination systémique dont sont victimes les personnes ayant des limitations fonctionnelles, </w:t>
      </w:r>
      <w:r w:rsidRPr="00FF145E">
        <w:t xml:space="preserve">pour élaborer son prochain plan d’action en accessibilité universelle, la Ville de Montréal devra travailler en concertation avec toutes ses unités administratives, ainsi qu’avec ses partenaires associatifs, institutionnels et privés, ce qui lui permettra de définir des objectifs cohérents, de se fixer des cibles mesurables, et de poser des actions structurantes, pertinentes et constructives. </w:t>
      </w:r>
    </w:p>
    <w:p w:rsidR="008F32F1" w:rsidRDefault="008F32F1" w:rsidP="008F5985">
      <w:r w:rsidRPr="00FF145E">
        <w:t>Dans cette perspective, DéPhy Montréal et ses membres tiennent à réitérer à la Ville de Montréal leur volonté de poursuivre une collaboration qui, dans le pass</w:t>
      </w:r>
      <w:r w:rsidR="002D2820">
        <w:t xml:space="preserve">é, a souvent porté ses fruits. </w:t>
      </w:r>
    </w:p>
    <w:p w:rsidR="008F32F1" w:rsidRDefault="008F32F1" w:rsidP="006A03D3">
      <w:pPr>
        <w:pStyle w:val="Heading1"/>
        <w:numPr>
          <w:ilvl w:val="0"/>
          <w:numId w:val="0"/>
        </w:numPr>
      </w:pPr>
      <w:bookmarkStart w:id="40" w:name="_Toc23781701"/>
      <w:r>
        <w:lastRenderedPageBreak/>
        <w:t>Annexe 1</w:t>
      </w:r>
      <w:r w:rsidR="001364DB">
        <w:t> :</w:t>
      </w:r>
      <w:r>
        <w:t xml:space="preserve"> extrait de la Charte des droits et libertés de la personne du Québec</w:t>
      </w:r>
      <w:r>
        <w:rPr>
          <w:rStyle w:val="FootnoteReference"/>
        </w:rPr>
        <w:footnoteReference w:id="10"/>
      </w:r>
      <w:bookmarkEnd w:id="40"/>
    </w:p>
    <w:p w:rsidR="008F32F1" w:rsidRPr="00984E6C" w:rsidRDefault="008F32F1" w:rsidP="008F5985">
      <w:r>
        <w:t>Chapitre I</w:t>
      </w:r>
      <w:r w:rsidR="001364DB">
        <w:t> :</w:t>
      </w:r>
      <w:r>
        <w:t xml:space="preserve"> Libertés et droits fondamentaux</w:t>
      </w:r>
    </w:p>
    <w:p w:rsidR="009D4EF2" w:rsidRDefault="008F32F1" w:rsidP="008F5985">
      <w:r>
        <w:t xml:space="preserve">1. </w:t>
      </w:r>
      <w:r w:rsidRPr="00A6248E">
        <w:t>Tout être humain a droit à la vie, ainsi qu’à la sûreté, à l’intégrité et à la liberté de sa personne</w:t>
      </w:r>
      <w:r w:rsidR="009D4EF2">
        <w:t xml:space="preserve">. </w:t>
      </w:r>
    </w:p>
    <w:p w:rsidR="009D4EF2" w:rsidRDefault="008F32F1" w:rsidP="008F5985">
      <w:r>
        <w:t>4. Toute personne a droit à la sauvegarde de sa dignité, de son honneur et de sa réputation</w:t>
      </w:r>
      <w:r w:rsidR="009D4EF2">
        <w:t xml:space="preserve">. </w:t>
      </w:r>
    </w:p>
    <w:p w:rsidR="009D4EF2" w:rsidRDefault="008F32F1" w:rsidP="008F5985">
      <w:r w:rsidRPr="0013554A">
        <w:t>10. Toute personne a droit à la reconnaissance et à l’exercice, en pleine égalité, des droits et libertés de la personne, sans distinction, exclusion ou préférence fondée sur la race, la couleur, le sexe, l’identité ou l’expression de genre, la grossesse, l’orientation sexuelle, l’état civil, l’âge sauf dans la mesure prévue par la loi, la religion, les convictions politiques, la langue, l’origine ethnique ou nationale, la condition sociale, le handicap ou l’utilisation d’un moyen pour pallier ce handicap</w:t>
      </w:r>
      <w:r w:rsidR="009D4EF2">
        <w:t xml:space="preserve">. </w:t>
      </w:r>
    </w:p>
    <w:p w:rsidR="009D4EF2" w:rsidRDefault="008F32F1" w:rsidP="008F5985">
      <w:r>
        <w:t>Il y a discrimination lorsqu’une telle distinction, exclusion ou préférence a pour effet de détruire ou de compromettre ce droit</w:t>
      </w:r>
      <w:r w:rsidR="009D4EF2">
        <w:t xml:space="preserve">. </w:t>
      </w:r>
    </w:p>
    <w:p w:rsidR="009D4EF2" w:rsidRDefault="008F32F1" w:rsidP="008F5985">
      <w:r>
        <w:t>15. Nul ne peut, par discrimination, empêcher autrui d’avoir accès aux moyens de transport ou aux lieux publics, tels les établissements commerciaux, hôtels, restaurants, théâtres, cinémas, parcs, terrains de camping et de caravaning, et d’y obtenir les biens et les services qui y sont disponibles</w:t>
      </w:r>
      <w:r w:rsidR="009D4EF2">
        <w:t xml:space="preserve">. </w:t>
      </w:r>
    </w:p>
    <w:p w:rsidR="009D4EF2" w:rsidRDefault="008F32F1" w:rsidP="008F5985">
      <w:r>
        <w:t>16. Nul ne peut exercer de discrimination dans l’embauche, l’apprentissage, la durée de la période de probation, la formation professionnelle, la promotion, la mutation, le déplacement, la mise à pied, la suspension, le renvoi ou les conditions de travail d’une personne ainsi que dans l’établissement de catégories ou de classifications d’emploi</w:t>
      </w:r>
      <w:r w:rsidR="009D4EF2">
        <w:t xml:space="preserve">. </w:t>
      </w:r>
    </w:p>
    <w:p w:rsidR="008F32F1" w:rsidRDefault="008F32F1" w:rsidP="008F5985">
      <w:r>
        <w:t>Chapitre II</w:t>
      </w:r>
      <w:r w:rsidR="001364DB">
        <w:t> :</w:t>
      </w:r>
      <w:r>
        <w:t xml:space="preserve"> Droits politiques</w:t>
      </w:r>
    </w:p>
    <w:p w:rsidR="009D4EF2" w:rsidRDefault="008F32F1" w:rsidP="008F5985">
      <w:r>
        <w:t>22. Toute personne légalement habilitée et qualifiée a droit de se porter candidat lors d’une élection et a droit d’y voter</w:t>
      </w:r>
      <w:r w:rsidR="009D4EF2">
        <w:t xml:space="preserve">. </w:t>
      </w:r>
    </w:p>
    <w:p w:rsidR="008F32F1" w:rsidRDefault="008F32F1" w:rsidP="008F5985">
      <w:r>
        <w:t>Chapitre IV</w:t>
      </w:r>
      <w:r w:rsidR="001364DB">
        <w:t> :</w:t>
      </w:r>
      <w:r>
        <w:t xml:space="preserve"> Droits économiques et sociaux</w:t>
      </w:r>
    </w:p>
    <w:p w:rsidR="009D4EF2" w:rsidRDefault="008F32F1" w:rsidP="008F5985">
      <w:r>
        <w:t>39. Tout enfant a droit à la protection, à la sécurité et à l’attention que ses parents ou les personnes qui en tiennent lieu peuvent lui donner</w:t>
      </w:r>
      <w:r w:rsidR="009D4EF2">
        <w:t xml:space="preserve">. </w:t>
      </w:r>
    </w:p>
    <w:p w:rsidR="009D4EF2" w:rsidRDefault="008F32F1" w:rsidP="008F5985">
      <w:r>
        <w:t>44. Toute personne a droit à l’information, dans la mesure prévue par la loi</w:t>
      </w:r>
      <w:r w:rsidR="009D4EF2">
        <w:t xml:space="preserve">. </w:t>
      </w:r>
    </w:p>
    <w:p w:rsidR="008F32F1" w:rsidRDefault="008F32F1" w:rsidP="008F5985">
      <w:r>
        <w:lastRenderedPageBreak/>
        <w:t>46. Toute personne qui travaille a droit, conformément à la loi, à des conditions de travail justes et raisonnables et qui respectent sa santé, sa sécurité et son intégrité physique</w:t>
      </w:r>
      <w:r w:rsidR="006A2D51">
        <w:t xml:space="preserve">. </w:t>
      </w:r>
    </w:p>
    <w:p w:rsidR="008F32F1" w:rsidRDefault="008F32F1" w:rsidP="008F5985">
      <w:r>
        <w:br w:type="page"/>
      </w:r>
    </w:p>
    <w:p w:rsidR="008F32F1" w:rsidRDefault="008F32F1" w:rsidP="006A03D3">
      <w:pPr>
        <w:pStyle w:val="Heading1"/>
        <w:numPr>
          <w:ilvl w:val="0"/>
          <w:numId w:val="0"/>
        </w:numPr>
      </w:pPr>
      <w:bookmarkStart w:id="41" w:name="_Toc23781702"/>
      <w:r>
        <w:lastRenderedPageBreak/>
        <w:t>Annexe 2</w:t>
      </w:r>
      <w:r w:rsidR="001364DB">
        <w:t> :</w:t>
      </w:r>
      <w:r>
        <w:t xml:space="preserve"> Liste des organismes qui ont participé à l’activité contributive citoyenne</w:t>
      </w:r>
      <w:bookmarkEnd w:id="41"/>
    </w:p>
    <w:p w:rsidR="008F32F1" w:rsidRPr="002B63EF" w:rsidRDefault="008F32F1" w:rsidP="0045536E">
      <w:pPr>
        <w:numPr>
          <w:ilvl w:val="0"/>
          <w:numId w:val="34"/>
        </w:numPr>
      </w:pPr>
      <w:r w:rsidRPr="002B63EF">
        <w:t>Action des femmes handicapées (Montréal)</w:t>
      </w:r>
    </w:p>
    <w:p w:rsidR="008F32F1" w:rsidRPr="002B63EF" w:rsidRDefault="008F32F1" w:rsidP="0045536E">
      <w:pPr>
        <w:numPr>
          <w:ilvl w:val="0"/>
          <w:numId w:val="34"/>
        </w:numPr>
      </w:pPr>
      <w:r w:rsidRPr="002B63EF">
        <w:t>AIM-CROIT</w:t>
      </w:r>
    </w:p>
    <w:p w:rsidR="008F32F1" w:rsidRPr="002B63EF" w:rsidRDefault="008F32F1" w:rsidP="0045536E">
      <w:pPr>
        <w:numPr>
          <w:ilvl w:val="0"/>
          <w:numId w:val="34"/>
        </w:numPr>
      </w:pPr>
      <w:r w:rsidRPr="002B63EF">
        <w:t>Amalgame Montréal</w:t>
      </w:r>
    </w:p>
    <w:p w:rsidR="008F32F1" w:rsidRPr="002B63EF" w:rsidRDefault="008F32F1" w:rsidP="0045536E">
      <w:pPr>
        <w:numPr>
          <w:ilvl w:val="0"/>
          <w:numId w:val="34"/>
        </w:numPr>
      </w:pPr>
      <w:r w:rsidRPr="002B63EF">
        <w:t>Association multiethnique pour l’intégration des personnes handicapées</w:t>
      </w:r>
    </w:p>
    <w:p w:rsidR="008F32F1" w:rsidRPr="002B63EF" w:rsidRDefault="008F32F1" w:rsidP="0045536E">
      <w:pPr>
        <w:numPr>
          <w:ilvl w:val="0"/>
          <w:numId w:val="34"/>
        </w:numPr>
      </w:pPr>
      <w:r w:rsidRPr="002B63EF">
        <w:t>Association polio Québec</w:t>
      </w:r>
    </w:p>
    <w:p w:rsidR="008F32F1" w:rsidRPr="002B63EF" w:rsidRDefault="008F32F1" w:rsidP="0045536E">
      <w:pPr>
        <w:numPr>
          <w:ilvl w:val="0"/>
          <w:numId w:val="34"/>
        </w:numPr>
      </w:pPr>
      <w:r w:rsidRPr="002B63EF">
        <w:t>Association québécoise des personnes de petite taille</w:t>
      </w:r>
    </w:p>
    <w:p w:rsidR="008F32F1" w:rsidRPr="002B63EF" w:rsidRDefault="008F32F1" w:rsidP="0045536E">
      <w:pPr>
        <w:numPr>
          <w:ilvl w:val="0"/>
          <w:numId w:val="34"/>
        </w:numPr>
      </w:pPr>
      <w:r w:rsidRPr="002B63EF">
        <w:t>Association québécoise pour l'équité et l'inclusion au postsecondaire</w:t>
      </w:r>
    </w:p>
    <w:p w:rsidR="008F32F1" w:rsidRPr="002B63EF" w:rsidRDefault="008F32F1" w:rsidP="0045536E">
      <w:pPr>
        <w:numPr>
          <w:ilvl w:val="0"/>
          <w:numId w:val="34"/>
        </w:numPr>
      </w:pPr>
      <w:r w:rsidRPr="002B63EF">
        <w:t>Centre de la communauté sourde du Montréal métropolitain</w:t>
      </w:r>
    </w:p>
    <w:p w:rsidR="008F32F1" w:rsidRPr="002B63EF" w:rsidRDefault="008F32F1" w:rsidP="0045536E">
      <w:pPr>
        <w:numPr>
          <w:ilvl w:val="0"/>
          <w:numId w:val="34"/>
        </w:numPr>
      </w:pPr>
      <w:r w:rsidRPr="002B63EF">
        <w:t>L’Étoile de Pacho</w:t>
      </w:r>
    </w:p>
    <w:p w:rsidR="008F32F1" w:rsidRPr="002B63EF" w:rsidRDefault="008F32F1" w:rsidP="0045536E">
      <w:pPr>
        <w:numPr>
          <w:ilvl w:val="0"/>
          <w:numId w:val="34"/>
        </w:numPr>
      </w:pPr>
      <w:r w:rsidRPr="002B63EF">
        <w:t>Main-Forte Montréal</w:t>
      </w:r>
    </w:p>
    <w:p w:rsidR="008F32F1" w:rsidRPr="002B63EF" w:rsidRDefault="008F32F1" w:rsidP="0045536E">
      <w:pPr>
        <w:numPr>
          <w:ilvl w:val="0"/>
          <w:numId w:val="34"/>
        </w:numPr>
      </w:pPr>
      <w:r w:rsidRPr="002B63EF">
        <w:t>Maison des femmes sourdes</w:t>
      </w:r>
    </w:p>
    <w:p w:rsidR="008F32F1" w:rsidRPr="002B63EF" w:rsidRDefault="008F32F1" w:rsidP="0045536E">
      <w:pPr>
        <w:numPr>
          <w:ilvl w:val="0"/>
          <w:numId w:val="34"/>
        </w:numPr>
      </w:pPr>
      <w:r w:rsidRPr="002B63EF">
        <w:t>Maison des sourds</w:t>
      </w:r>
    </w:p>
    <w:p w:rsidR="008F32F1" w:rsidRPr="002B63EF" w:rsidRDefault="008F32F1" w:rsidP="0045536E">
      <w:pPr>
        <w:numPr>
          <w:ilvl w:val="0"/>
          <w:numId w:val="34"/>
        </w:numPr>
      </w:pPr>
      <w:r w:rsidRPr="002B63EF">
        <w:t>Regroupement des aveugles et amblyopes du Montréal métropolitain</w:t>
      </w:r>
    </w:p>
    <w:p w:rsidR="008F32F1" w:rsidRPr="002B63EF" w:rsidRDefault="008F32F1" w:rsidP="0045536E">
      <w:pPr>
        <w:numPr>
          <w:ilvl w:val="0"/>
          <w:numId w:val="34"/>
        </w:numPr>
      </w:pPr>
      <w:r w:rsidRPr="002B63EF">
        <w:t>Regroupement des usagers du transport adapté et accessible de l’île de Montréal</w:t>
      </w:r>
    </w:p>
    <w:p w:rsidR="008F32F1" w:rsidRPr="002B63EF" w:rsidRDefault="008F32F1" w:rsidP="0045536E">
      <w:pPr>
        <w:numPr>
          <w:ilvl w:val="0"/>
          <w:numId w:val="34"/>
        </w:numPr>
      </w:pPr>
      <w:r w:rsidRPr="002B63EF">
        <w:t>Société de la sclérose en plaques – section Montréal</w:t>
      </w:r>
    </w:p>
    <w:p w:rsidR="008F32F1" w:rsidRPr="002B63EF" w:rsidRDefault="008F32F1" w:rsidP="0045536E">
      <w:pPr>
        <w:numPr>
          <w:ilvl w:val="0"/>
          <w:numId w:val="34"/>
        </w:numPr>
      </w:pPr>
      <w:r w:rsidRPr="002B63EF">
        <w:t>Société Logique</w:t>
      </w:r>
    </w:p>
    <w:p w:rsidR="008F32F1" w:rsidRDefault="008F32F1" w:rsidP="0045536E">
      <w:pPr>
        <w:numPr>
          <w:ilvl w:val="0"/>
          <w:numId w:val="34"/>
        </w:numPr>
      </w:pPr>
      <w:r w:rsidRPr="002B63EF">
        <w:t>Vie autonome Montréal</w:t>
      </w:r>
    </w:p>
    <w:p w:rsidR="005632F7" w:rsidRDefault="005632F7">
      <w:pPr>
        <w:spacing w:before="0" w:after="160" w:line="259" w:lineRule="auto"/>
      </w:pPr>
      <w:r>
        <w:br w:type="page"/>
      </w:r>
    </w:p>
    <w:p w:rsidR="005632F7" w:rsidRDefault="005632F7" w:rsidP="001C2F61">
      <w:pPr>
        <w:pStyle w:val="Heading1"/>
        <w:numPr>
          <w:ilvl w:val="0"/>
          <w:numId w:val="0"/>
        </w:numPr>
      </w:pPr>
      <w:bookmarkStart w:id="42" w:name="_Toc23781703"/>
      <w:r>
        <w:lastRenderedPageBreak/>
        <w:t>Annexe 3</w:t>
      </w:r>
      <w:r w:rsidR="001364DB">
        <w:t> :</w:t>
      </w:r>
      <w:r>
        <w:t xml:space="preserve"> Le processus de production du handicap</w:t>
      </w:r>
      <w:r w:rsidR="001C2F61">
        <w:t xml:space="preserve"> (PPH)</w:t>
      </w:r>
      <w:bookmarkEnd w:id="42"/>
    </w:p>
    <w:p w:rsidR="001C2F61" w:rsidRPr="00874522" w:rsidRDefault="001C2F61" w:rsidP="001C2F61">
      <w:r w:rsidRPr="00874522">
        <w:t>Le Réseau international sur le processus de production du handicap</w:t>
      </w:r>
      <w:r>
        <w:t xml:space="preserve"> (RIPPH</w:t>
      </w:r>
      <w:r w:rsidRPr="00874522">
        <w:t>) a été élaboré par des chercheurs de Québec pour le compte de l’Organisation mondiale de la santé.</w:t>
      </w:r>
    </w:p>
    <w:p w:rsidR="001C2F61" w:rsidRPr="00874522" w:rsidRDefault="001C2F61" w:rsidP="001C2F61">
      <w:r w:rsidRPr="00874522">
        <w:t>Le PPH vise à expliquer comment une personne devient une personne handicapée, par les interactions entre les facteurs de risque (causes), les facteurs personnels (la personne), les facteurs environnementaux (physique et social) et les habitudes de vie (ce qu’on aspire à faire comme personne et comme citoyen).</w:t>
      </w:r>
    </w:p>
    <w:p w:rsidR="001C2F61" w:rsidRPr="00874522" w:rsidRDefault="001C2F61" w:rsidP="001C2F61"/>
    <w:p w:rsidR="001C2F61" w:rsidRPr="00874522" w:rsidRDefault="001C2F61" w:rsidP="001C2F61">
      <w:r w:rsidRPr="00874522">
        <w:drawing>
          <wp:inline distT="0" distB="0" distL="0" distR="0" wp14:anchorId="29713266" wp14:editId="76A74360">
            <wp:extent cx="5943600" cy="3820160"/>
            <wp:effectExtent l="0" t="0" r="0" b="8890"/>
            <wp:docPr id="2" name="Picture 2" title="Représentation du processus de production du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H.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3820160"/>
                    </a:xfrm>
                    <a:prstGeom prst="rect">
                      <a:avLst/>
                    </a:prstGeom>
                  </pic:spPr>
                </pic:pic>
              </a:graphicData>
            </a:graphic>
          </wp:inline>
        </w:drawing>
      </w:r>
    </w:p>
    <w:p w:rsidR="001C2F61" w:rsidRPr="00874522" w:rsidRDefault="001C2F61" w:rsidP="001C2F61"/>
    <w:p w:rsidR="001C2F61" w:rsidRPr="00874522" w:rsidRDefault="001C2F61" w:rsidP="001C2F61">
      <w:r w:rsidRPr="00874522">
        <w:t>L’interaction entre la personne (ses capacités) et son environnement définit ce qu’elle peut faire ou ne pas faire. Si l’environnement est facilitant, on dit que la personne est en état de participation sociale</w:t>
      </w:r>
      <w:r w:rsidR="001364DB">
        <w:t> :</w:t>
      </w:r>
      <w:r w:rsidRPr="00874522">
        <w:t xml:space="preserve"> elle peut faire ce qu’elle veut. Au contraire, si son environnement présente des obstacles, on dit que la personne est en situation de handicap</w:t>
      </w:r>
      <w:r w:rsidR="001364DB">
        <w:t> :</w:t>
      </w:r>
      <w:r w:rsidRPr="00874522">
        <w:t xml:space="preserve"> elle ne peut pas faire ce qu’elle veut, compte tenu de ses capacités. On vient ainsi de créer la personne handicapée.</w:t>
      </w:r>
    </w:p>
    <w:p w:rsidR="001C2F61" w:rsidRPr="00874522" w:rsidRDefault="001C2F61" w:rsidP="001C2F61">
      <w:r w:rsidRPr="00874522">
        <w:lastRenderedPageBreak/>
        <w:t>Exemples d’obstacles</w:t>
      </w:r>
      <w:r w:rsidR="001364DB">
        <w:t> :</w:t>
      </w:r>
      <w:r w:rsidRPr="00874522">
        <w:t xml:space="preserve"> bâtiment non accessible (ex.</w:t>
      </w:r>
      <w:r w:rsidR="001364DB">
        <w:t> :</w:t>
      </w:r>
      <w:r w:rsidRPr="00874522">
        <w:t xml:space="preserve"> présence d’un escalier et absence de rampe d’accès, absence de toilettes adaptées, manque de signalisation, etc.), documents non accessibles (ex.</w:t>
      </w:r>
      <w:r w:rsidR="001364DB">
        <w:t> :</w:t>
      </w:r>
      <w:r w:rsidRPr="00874522">
        <w:t xml:space="preserve"> disponibles en version imprimée uniquement, etc.), manque d’aide ou de ressources (ex.</w:t>
      </w:r>
      <w:r w:rsidR="001364DB">
        <w:t> :</w:t>
      </w:r>
      <w:r w:rsidRPr="00874522">
        <w:t xml:space="preserve"> manque d’accompagnement, manque de préposés pour aider une personne à se déshabiller, etc.), préjugés envers les personnes </w:t>
      </w:r>
      <w:r w:rsidR="00DB73EB">
        <w:t xml:space="preserve">ayant </w:t>
      </w:r>
      <w:r w:rsidRPr="00874522">
        <w:t>une</w:t>
      </w:r>
      <w:r w:rsidR="00DB73EB">
        <w:t xml:space="preserve"> limitation fonctionnelle</w:t>
      </w:r>
      <w:r w:rsidRPr="00874522">
        <w:t>, etc.</w:t>
      </w:r>
    </w:p>
    <w:p w:rsidR="001C2F61" w:rsidRPr="00874522" w:rsidRDefault="001C2F61" w:rsidP="001C2F61">
      <w:r w:rsidRPr="00874522">
        <w:t>La personne n’est donc pas handicapée du fait de ses caractéristiques personnelles, mais du fait de l’interaction entre ses caractéristiques personnelles et les obstacles de son environnement.</w:t>
      </w:r>
    </w:p>
    <w:p w:rsidR="001C2F61" w:rsidRPr="00874522" w:rsidRDefault="001C2F61" w:rsidP="001C2F61">
      <w:r w:rsidRPr="00874522">
        <w:t xml:space="preserve">Ceci constitue un changement de perspective, puisque favoriser la participation sociale ne revient plus à apporter des adaptations spécifiques pour une personne, mais plutôt à responsabiliser tous les acteurs de la société, en vue d’agir directement sur l’environnement. </w:t>
      </w:r>
    </w:p>
    <w:p w:rsidR="001C2F61" w:rsidRPr="00874522" w:rsidRDefault="001C2F61" w:rsidP="001C2F61">
      <w:r w:rsidRPr="00874522">
        <w:t>En outre, agir sur l’environnement implique de tenir compte de l’accessibilité universelle, c’est-à-dire de réduire les obstacles, et surtout, d’éviter d’en créer lorsqu’on conçoit quelque chose de nouveau, comme un nouvel édifice, un nouveau programme ou un nouveau service.</w:t>
      </w:r>
    </w:p>
    <w:p w:rsidR="001C2F61" w:rsidRPr="00874522" w:rsidRDefault="001C2F61" w:rsidP="001C2F61">
      <w:r w:rsidRPr="00874522">
        <w:t>Ainsi, comprendre comment la personne se retrouve en situation de handicap permet de trouver plus rapidement les solutions à mettre en œuvre pour favoriser sa participation sociale.</w:t>
      </w:r>
    </w:p>
    <w:p w:rsidR="001C2F61" w:rsidRPr="00E3333F" w:rsidRDefault="00265E99" w:rsidP="001C2F61">
      <w:pPr>
        <w:rPr>
          <w:b/>
        </w:rPr>
      </w:pPr>
      <w:r>
        <w:rPr>
          <w:b/>
        </w:rPr>
        <w:t>E</w:t>
      </w:r>
      <w:r w:rsidR="001C2F61" w:rsidRPr="00E3333F">
        <w:rPr>
          <w:b/>
        </w:rPr>
        <w:t>n savoir plus…</w:t>
      </w:r>
    </w:p>
    <w:p w:rsidR="001C2F61" w:rsidRPr="00874522" w:rsidRDefault="001C2F61" w:rsidP="00E3333F">
      <w:pPr>
        <w:numPr>
          <w:ilvl w:val="0"/>
          <w:numId w:val="35"/>
        </w:numPr>
      </w:pPr>
      <w:hyperlink r:id="rId26" w:history="1">
        <w:r w:rsidRPr="00874522">
          <w:rPr>
            <w:rStyle w:val="Hyperlink"/>
          </w:rPr>
          <w:t>Réseau international sur le Processus de production du handicap (RIPPH)</w:t>
        </w:r>
      </w:hyperlink>
      <w:r w:rsidRPr="00874522">
        <w:t xml:space="preserve"> </w:t>
      </w:r>
    </w:p>
    <w:p w:rsidR="001C2F61" w:rsidRPr="00874522" w:rsidRDefault="001C2F61" w:rsidP="00E3333F">
      <w:pPr>
        <w:numPr>
          <w:ilvl w:val="0"/>
          <w:numId w:val="35"/>
        </w:numPr>
      </w:pPr>
      <w:hyperlink r:id="rId27" w:history="1">
        <w:r w:rsidRPr="00874522">
          <w:rPr>
            <w:rStyle w:val="Hyperlink"/>
          </w:rPr>
          <w:t>Le modèle RIPPH</w:t>
        </w:r>
      </w:hyperlink>
      <w:r w:rsidRPr="00874522">
        <w:t xml:space="preserve"> </w:t>
      </w:r>
    </w:p>
    <w:p w:rsidR="005632F7" w:rsidRPr="00E3333F" w:rsidRDefault="005632F7" w:rsidP="00E3333F"/>
    <w:p w:rsidR="00E3333F" w:rsidRDefault="00E3333F" w:rsidP="00E3333F"/>
    <w:p w:rsidR="00E3333F" w:rsidRDefault="00E3333F">
      <w:pPr>
        <w:spacing w:before="0" w:after="160" w:line="259" w:lineRule="auto"/>
      </w:pPr>
      <w:r>
        <w:br w:type="page"/>
      </w:r>
    </w:p>
    <w:p w:rsidR="00E3333F" w:rsidRPr="00F72033" w:rsidRDefault="00E3333F" w:rsidP="00E3333F">
      <w:pPr>
        <w:pStyle w:val="Heading1"/>
        <w:numPr>
          <w:ilvl w:val="0"/>
          <w:numId w:val="0"/>
        </w:numPr>
      </w:pPr>
      <w:bookmarkStart w:id="43" w:name="_Toc23781704"/>
      <w:r>
        <w:lastRenderedPageBreak/>
        <w:t>Annexe 4</w:t>
      </w:r>
      <w:r w:rsidR="001364DB">
        <w:t> :</w:t>
      </w:r>
      <w:r>
        <w:t xml:space="preserve"> </w:t>
      </w:r>
      <w:r w:rsidRPr="00F72033">
        <w:t>La chaîne de participation sociale</w:t>
      </w:r>
      <w:bookmarkEnd w:id="43"/>
    </w:p>
    <w:p w:rsidR="00E3333F" w:rsidRPr="00F72033" w:rsidRDefault="00E3333F" w:rsidP="00E3333F">
      <w:r w:rsidRPr="00F72033">
        <w:t xml:space="preserve">La réalisation des habitudes de vie d’une personne consiste à accomplir une suite d’activités. Chaque obstacle rencontré est une rupture dans la chaîne de participation sociale, qui peut empêcher la réalisation des activités de la personne, en tout ou en partie. </w:t>
      </w:r>
    </w:p>
    <w:p w:rsidR="00E3333F" w:rsidRPr="00F72033" w:rsidRDefault="00E3333F" w:rsidP="00E3333F">
      <w:r w:rsidRPr="00F72033">
        <w:t>C’est pourquoi, plus le nombre d’acteurs impliqués dans la chaîne de participation sociale sera important, plus leurs interventions devront être soigneusement coordonnées.</w:t>
      </w:r>
    </w:p>
    <w:p w:rsidR="00E3333F" w:rsidRPr="00F72033" w:rsidRDefault="00E3333F" w:rsidP="00265E99">
      <w:pPr>
        <w:pStyle w:val="encadre"/>
      </w:pPr>
      <w:r w:rsidRPr="00F72033">
        <w:t>Remarque</w:t>
      </w:r>
      <w:r w:rsidR="001364DB">
        <w:t> :</w:t>
      </w:r>
      <w:r w:rsidRPr="00F72033">
        <w:t xml:space="preserve"> Nous favorisons l’emploi de l’expression « chaîne de participation sociale » plutôt que l’appellation traditionnelle « chaîne de déplacement ». En effet, les obstacles n’apparaissent pas uniquement lors des déplacements, mais ils peuvent survenir en tout temps au cours de la réalisation des habitudes de vie.</w:t>
      </w:r>
    </w:p>
    <w:p w:rsidR="00E3333F" w:rsidRPr="00A6628B" w:rsidRDefault="00E3333F" w:rsidP="00FC6A7F">
      <w:pPr>
        <w:pStyle w:val="Heading2"/>
        <w:numPr>
          <w:ilvl w:val="0"/>
          <w:numId w:val="0"/>
        </w:numPr>
      </w:pPr>
      <w:bookmarkStart w:id="44" w:name="_Toc23781071"/>
      <w:r w:rsidRPr="00A6628B">
        <w:t>Le principe de continuité</w:t>
      </w:r>
      <w:bookmarkEnd w:id="44"/>
    </w:p>
    <w:p w:rsidR="00E3333F" w:rsidRPr="00F72033" w:rsidRDefault="00E3333F" w:rsidP="00E3333F">
      <w:r w:rsidRPr="00F72033">
        <w:t>Le concept d’accessibilité universelle pose le principe de continuité de la chaîne de participation sociale, dont le but est de permettre aux personnes ayant des limitations fonctionnelles de se déplacer, et d’utiliser ou de bénéficier de l’ensemble des programmes et services, avec la plus grande autonomie possible.</w:t>
      </w:r>
    </w:p>
    <w:p w:rsidR="00E3333F" w:rsidRPr="00F72033" w:rsidRDefault="00E3333F" w:rsidP="00E3333F">
      <w:r w:rsidRPr="00F72033">
        <w:t>C’est pourquoi la continuité de la chaîne de participation sociale doit être assurée dans tous les domaines, comme dans l’ensemble des constructions, des rues et des espaces publics, des systèmes de transport et leur inter modalité, ou encore au niveau de l’accueil, des programmes et services et des communications.</w:t>
      </w:r>
    </w:p>
    <w:p w:rsidR="00E3333F" w:rsidRPr="00F72033" w:rsidRDefault="00E3333F" w:rsidP="00E3333F">
      <w:r w:rsidRPr="00F72033">
        <w:t>Ainsi, la chaîne de participation sociale doit être organisée de façon à permettre aux personnes ayant des limitations fonctionnelles de réaliser leurs activités. Chaque obstacle susceptible de rompre la chaîne doit être éliminé, puisque la présence d’un seul obstacle pourrait réduire à néant tous les efforts qui ont été déployés pour supprimer tous les obstacles en amont et en aval de celui-ci.</w:t>
      </w:r>
    </w:p>
    <w:p w:rsidR="00E3333F" w:rsidRPr="00F72033" w:rsidRDefault="00E3333F" w:rsidP="00E3333F">
      <w:r w:rsidRPr="00F72033">
        <w:t xml:space="preserve">En matière de déplacement, 4 facteurs doivent être considérés pour appréhender adéquatement l’espace, soit les abords et accès, la circulation horizontale, la circulation verticale et la signalisation. Ainsi, sera considéré comme accessible aux personnes </w:t>
      </w:r>
      <w:r w:rsidR="00DB73EB">
        <w:t xml:space="preserve">ayant des </w:t>
      </w:r>
      <w:r w:rsidRPr="00F72033">
        <w:t>limitations fonctionnelles, tout bâtiment ou aménagement permettant, dans des conditions normales de fonctionnement et avec la plus grande autonomie possible, de circuler, d’accéder aux locaux et aux équipements, d’utiliser les équipements, de se repérer et de communiquer.</w:t>
      </w:r>
    </w:p>
    <w:p w:rsidR="00CA20D8" w:rsidRPr="00A6628B" w:rsidRDefault="00CA20D8" w:rsidP="00FC6A7F">
      <w:pPr>
        <w:pStyle w:val="Heading2"/>
        <w:numPr>
          <w:ilvl w:val="0"/>
          <w:numId w:val="0"/>
        </w:numPr>
      </w:pPr>
      <w:bookmarkStart w:id="45" w:name="_Toc23781072"/>
      <w:r w:rsidRPr="00A6628B">
        <w:lastRenderedPageBreak/>
        <w:t>Application du concept d’accessibilité universelle</w:t>
      </w:r>
      <w:r w:rsidR="001364DB" w:rsidRPr="00A6628B">
        <w:t> :</w:t>
      </w:r>
      <w:r w:rsidRPr="00A6628B">
        <w:t xml:space="preserve"> principes généraux</w:t>
      </w:r>
      <w:bookmarkEnd w:id="45"/>
    </w:p>
    <w:p w:rsidR="00CA20D8" w:rsidRPr="009C1452" w:rsidRDefault="00CA20D8" w:rsidP="00CA20D8">
      <w:r w:rsidRPr="009C1452">
        <w:t xml:space="preserve">Pour respecter la continuité de la chaîne de participation sociale, le concept d’accessibilité universelle doit être appliqué dans tous les domaines. </w:t>
      </w:r>
    </w:p>
    <w:p w:rsidR="00CA20D8" w:rsidRPr="009C1452" w:rsidRDefault="00CA20D8" w:rsidP="00CA20D8">
      <w:r w:rsidRPr="009C1452">
        <w:t>Nous allons donc poser les principes généraux de l’application de l’accessibilité universelle dans les domaines suivants</w:t>
      </w:r>
      <w:r w:rsidR="001364DB">
        <w:t> :</w:t>
      </w:r>
    </w:p>
    <w:p w:rsidR="00CA20D8" w:rsidRPr="009C1452" w:rsidRDefault="00CA20D8" w:rsidP="00CA20D8">
      <w:pPr>
        <w:numPr>
          <w:ilvl w:val="0"/>
          <w:numId w:val="36"/>
        </w:numPr>
      </w:pPr>
      <w:r w:rsidRPr="009C1452">
        <w:t>Sensibilisation et formation</w:t>
      </w:r>
    </w:p>
    <w:p w:rsidR="00CA20D8" w:rsidRPr="009C1452" w:rsidRDefault="00CA20D8" w:rsidP="00CA20D8">
      <w:pPr>
        <w:numPr>
          <w:ilvl w:val="0"/>
          <w:numId w:val="36"/>
        </w:numPr>
      </w:pPr>
      <w:r w:rsidRPr="009C1452">
        <w:t>Immeubles et espaces extérieurs</w:t>
      </w:r>
    </w:p>
    <w:p w:rsidR="00CA20D8" w:rsidRPr="009C1452" w:rsidRDefault="00CA20D8" w:rsidP="00CA20D8">
      <w:pPr>
        <w:numPr>
          <w:ilvl w:val="0"/>
          <w:numId w:val="36"/>
        </w:numPr>
      </w:pPr>
      <w:r w:rsidRPr="009C1452">
        <w:t>Communications</w:t>
      </w:r>
    </w:p>
    <w:p w:rsidR="00CA20D8" w:rsidRPr="009C1452" w:rsidRDefault="00CA20D8" w:rsidP="00CA20D8">
      <w:pPr>
        <w:numPr>
          <w:ilvl w:val="0"/>
          <w:numId w:val="36"/>
        </w:numPr>
      </w:pPr>
      <w:r>
        <w:t>P</w:t>
      </w:r>
      <w:r w:rsidRPr="009C1452">
        <w:t>rogrammes et services</w:t>
      </w:r>
    </w:p>
    <w:p w:rsidR="00CA20D8" w:rsidRPr="009C1452" w:rsidRDefault="00CA20D8" w:rsidP="00CA20D8">
      <w:pPr>
        <w:numPr>
          <w:ilvl w:val="0"/>
          <w:numId w:val="36"/>
        </w:numPr>
      </w:pPr>
      <w:r w:rsidRPr="009C1452">
        <w:t>Emploi</w:t>
      </w:r>
    </w:p>
    <w:p w:rsidR="00CA20D8" w:rsidRPr="009C1452" w:rsidRDefault="00CA20D8" w:rsidP="00CA20D8">
      <w:pPr>
        <w:pStyle w:val="Heading3"/>
      </w:pPr>
      <w:r w:rsidRPr="009C1452">
        <w:t>Sensibilisation et formation</w:t>
      </w:r>
    </w:p>
    <w:p w:rsidR="00CA20D8" w:rsidRPr="009C1452" w:rsidRDefault="00CA20D8" w:rsidP="00CA20D8">
      <w:r w:rsidRPr="009C1452">
        <w:t xml:space="preserve">Il s’agit du point de départ de l'application du concept d'accessibilité universelle, puisque la sensibilisation et la formation constituent une conscientisation aux divers besoins des usagers et des employés. Il est donc primordial que les </w:t>
      </w:r>
      <w:r w:rsidR="009974D8">
        <w:t xml:space="preserve">organisations </w:t>
      </w:r>
      <w:r w:rsidRPr="009C1452">
        <w:t>incluent le concept d’accessibilité universelle dans les programmes de sensibilisation et de formation de tout leur personnel.</w:t>
      </w:r>
    </w:p>
    <w:p w:rsidR="00CA20D8" w:rsidRPr="009C1452" w:rsidRDefault="00CA20D8" w:rsidP="00CA20D8">
      <w:r w:rsidRPr="009C1452">
        <w:t>En effet, une formation qui inclut le concept d’accessibilité universelle permet de connaître les gestes à poser, et de savoir comment faire. Le fait de bien saisir la portée de l’application du concept d’accessibilité universelle deviendra une source de motivation au quotidien</w:t>
      </w:r>
      <w:r w:rsidR="001364DB">
        <w:t> :</w:t>
      </w:r>
      <w:r w:rsidRPr="009C1452">
        <w:t xml:space="preserve"> bien comprendre le concept vient démontrer l’importance de l’appliquer. </w:t>
      </w:r>
    </w:p>
    <w:p w:rsidR="00CA20D8" w:rsidRPr="009C1452" w:rsidRDefault="00CA20D8" w:rsidP="00CA20D8">
      <w:r w:rsidRPr="009C1452">
        <w:t>En outre, pour assurer le maintien de la qualité des services offerts par les</w:t>
      </w:r>
      <w:r w:rsidR="009974D8">
        <w:t xml:space="preserve"> organisations</w:t>
      </w:r>
      <w:r w:rsidRPr="009C1452">
        <w:t>, les séances de sensibilisation et les formations spécialisées doivent être dispensées régulièrement aux différents groupes d’employés (ex.</w:t>
      </w:r>
      <w:r w:rsidR="001364DB">
        <w:t> :</w:t>
      </w:r>
      <w:r w:rsidRPr="009C1452">
        <w:t xml:space="preserve"> accueillir et servir une personne ayant des limitations fonctionnelles, produire des contenus Web accessibles, produire des documents accessibles, etc.). </w:t>
      </w:r>
    </w:p>
    <w:p w:rsidR="00CA20D8" w:rsidRPr="009C1452" w:rsidRDefault="00CA20D8" w:rsidP="009974D8">
      <w:pPr>
        <w:pStyle w:val="Heading3"/>
      </w:pPr>
      <w:r w:rsidRPr="009C1452">
        <w:t>Immeubles et espaces extérieurs</w:t>
      </w:r>
    </w:p>
    <w:p w:rsidR="00CA20D8" w:rsidRPr="009C1452" w:rsidRDefault="00CA20D8" w:rsidP="00CA20D8">
      <w:r w:rsidRPr="009C1452">
        <w:t>Pour être universellement accessible, tout immeuble et espace extérieur doit être aménagé de façon à ce que toute la population, y compris les personnes</w:t>
      </w:r>
      <w:r w:rsidR="009974D8">
        <w:t xml:space="preserve"> ayant des limitations fonctionnelles</w:t>
      </w:r>
      <w:r w:rsidRPr="009C1452">
        <w:t>, puisse s'y orienter, y circuler, et y vivre les mêmes expériences en même temps et de la même manière, en toute liberté et en toute sécurité.</w:t>
      </w:r>
    </w:p>
    <w:p w:rsidR="00CA20D8" w:rsidRPr="009C1452" w:rsidRDefault="00CA20D8" w:rsidP="009974D8">
      <w:pPr>
        <w:pStyle w:val="Heading3"/>
      </w:pPr>
      <w:r w:rsidRPr="009C1452">
        <w:lastRenderedPageBreak/>
        <w:t>Communications</w:t>
      </w:r>
    </w:p>
    <w:p w:rsidR="00CA20D8" w:rsidRPr="009C1452" w:rsidRDefault="00CA20D8" w:rsidP="00CA20D8">
      <w:r w:rsidRPr="009C1452">
        <w:t>Des communications accessibles requièrent la création d’outils de diffusion et d'information utilisables et compréhensibles tant par les émetteurs que par les récepteurs, y compris par les personnes qui rencontrent des difficultés à lire ou à comprendre. En outre, pour être universellement accessible, tout outil de communication doit être disponible, en même temps ou dans un délai raisonnable, dans différents formats (médias substituts), qui répondent aux besoins des utilisateurs</w:t>
      </w:r>
      <w:r w:rsidR="001364DB">
        <w:t> :</w:t>
      </w:r>
    </w:p>
    <w:p w:rsidR="00CA20D8" w:rsidRPr="009C1452" w:rsidRDefault="00CA20D8" w:rsidP="009974D8">
      <w:pPr>
        <w:numPr>
          <w:ilvl w:val="0"/>
          <w:numId w:val="37"/>
        </w:numPr>
      </w:pPr>
      <w:r w:rsidRPr="009C1452">
        <w:t>Les médias substituts généraux, produits en tout temps</w:t>
      </w:r>
      <w:r w:rsidR="001364DB">
        <w:t> :</w:t>
      </w:r>
      <w:r w:rsidRPr="009C1452">
        <w:t xml:space="preserve"> gros caractères, audio (mp3 / Daisy) et texte simplifié.</w:t>
      </w:r>
    </w:p>
    <w:p w:rsidR="00CA20D8" w:rsidRPr="009C1452" w:rsidRDefault="00CA20D8" w:rsidP="009974D8">
      <w:pPr>
        <w:numPr>
          <w:ilvl w:val="0"/>
          <w:numId w:val="37"/>
        </w:numPr>
      </w:pPr>
      <w:r w:rsidRPr="009C1452">
        <w:t>Les médias substituts spécifiques, produits sur demande</w:t>
      </w:r>
      <w:r w:rsidR="001364DB">
        <w:t> :</w:t>
      </w:r>
      <w:r w:rsidRPr="009C1452">
        <w:t xml:space="preserve"> braille et vidéo en langue des signes.</w:t>
      </w:r>
    </w:p>
    <w:p w:rsidR="00CA20D8" w:rsidRPr="009C1452" w:rsidRDefault="009974D8" w:rsidP="009974D8">
      <w:pPr>
        <w:pStyle w:val="Heading3"/>
      </w:pPr>
      <w:r>
        <w:t>P</w:t>
      </w:r>
      <w:r w:rsidR="00CA20D8" w:rsidRPr="009C1452">
        <w:t>rogrammes et services</w:t>
      </w:r>
    </w:p>
    <w:p w:rsidR="00CA20D8" w:rsidRPr="009C1452" w:rsidRDefault="00CA20D8" w:rsidP="00CA20D8">
      <w:r w:rsidRPr="009C1452">
        <w:t>Les programmes et services doivent être planifiés, conçus et offerts de façon à ce que toute la population, y compris les personnes</w:t>
      </w:r>
      <w:r w:rsidR="009974D8">
        <w:t xml:space="preserve"> ayant des limitations fonctionnelles</w:t>
      </w:r>
      <w:r w:rsidRPr="009C1452">
        <w:t>, puisse en bénéficier, y participer ou les utiliser au même moment ou de la même manière. À cet effet, il est essentiel que tout le personnel et les usagers soient adéquatement informés des ressources disponibles, des mesures mises en place pour y accéder, ainsi que de leurs droits, devoirs et responsabilités.</w:t>
      </w:r>
    </w:p>
    <w:p w:rsidR="00CA20D8" w:rsidRPr="009C1452" w:rsidRDefault="00CA20D8" w:rsidP="009D46FA">
      <w:pPr>
        <w:pStyle w:val="Heading3"/>
      </w:pPr>
      <w:r w:rsidRPr="009C1452">
        <w:t>Emploi</w:t>
      </w:r>
    </w:p>
    <w:p w:rsidR="00CA20D8" w:rsidRPr="009C1452" w:rsidRDefault="00CA20D8" w:rsidP="00CA20D8">
      <w:r w:rsidRPr="009C1452">
        <w:t>Pour être inclusif, tout le processus, de l’affichage à l’intégration et au maintien en emploi, doit permettre à toute personne apte à accomplir les tâches reliées à cet emploi, y compris aux personnes</w:t>
      </w:r>
      <w:r w:rsidR="009D46FA">
        <w:t xml:space="preserve"> ayant des limitations fonctionnelles</w:t>
      </w:r>
      <w:r w:rsidRPr="009C1452">
        <w:t>, de postuler et d’occuper cet emploi.</w:t>
      </w:r>
    </w:p>
    <w:p w:rsidR="00CA20D8" w:rsidRPr="009C1452" w:rsidRDefault="00CA20D8" w:rsidP="00CA20D8"/>
    <w:p w:rsidR="00E3333F" w:rsidRPr="00E3333F" w:rsidRDefault="00E3333F" w:rsidP="00E3333F">
      <w:bookmarkStart w:id="46" w:name="_GoBack"/>
      <w:bookmarkEnd w:id="46"/>
    </w:p>
    <w:sectPr w:rsidR="00E3333F" w:rsidRPr="00E3333F" w:rsidSect="002B750A">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C1" w:rsidRDefault="00E27FC1" w:rsidP="008F5985">
      <w:r>
        <w:separator/>
      </w:r>
    </w:p>
  </w:endnote>
  <w:endnote w:type="continuationSeparator" w:id="0">
    <w:p w:rsidR="00E27FC1" w:rsidRDefault="00E27FC1" w:rsidP="008F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BB" w:rsidRDefault="004302BB" w:rsidP="008F5985">
    <w:pPr>
      <w:pStyle w:val="Footer"/>
    </w:pPr>
    <w:r>
      <w:t xml:space="preserve">. </w:t>
    </w:r>
  </w:p>
  <w:p w:rsidR="004302BB" w:rsidRDefault="004302BB" w:rsidP="008F5985">
    <w:pPr>
      <w:pStyle w:val="Footer"/>
    </w:pPr>
    <w:r>
      <w:t xml:space="preserve"> </w:t>
    </w:r>
  </w:p>
  <w:p w:rsidR="004302BB" w:rsidRDefault="004302BB" w:rsidP="008F5985">
    <w:pPr>
      <w:pStyle w:val="Footer"/>
    </w:pPr>
    <w:r>
      <w:t xml:space="preserve"> </w:t>
    </w:r>
  </w:p>
  <w:p w:rsidR="004302BB" w:rsidRDefault="004302BB" w:rsidP="008F59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BB" w:rsidRDefault="004302BB" w:rsidP="008F5985">
    <w:pPr>
      <w:pStyle w:val="Footer"/>
      <w:rPr>
        <w:noProof/>
      </w:rPr>
    </w:pPr>
    <w:r>
      <w:t>MEM – Racisme et discrimination systémiques - 30/10/2019</w:t>
    </w:r>
    <w:r>
      <w:ptab w:relativeTo="margin" w:alignment="right" w:leader="none"/>
    </w:r>
    <w:sdt>
      <w:sdtPr>
        <w:id w:val="-671931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6A7F">
          <w:rPr>
            <w:noProof/>
          </w:rPr>
          <w:t>20</w:t>
        </w:r>
        <w:r>
          <w:rPr>
            <w:noProof/>
          </w:rPr>
          <w:fldChar w:fldCharType="end"/>
        </w:r>
        <w:r>
          <w:rPr>
            <w:noProof/>
          </w:rPr>
          <w:t xml:space="preserve"> /</w:t>
        </w:r>
        <w:r w:rsidRPr="00B8546E">
          <w:t xml:space="preserve"> </w:t>
        </w:r>
        <w:r>
          <w:rPr>
            <w:noProof/>
          </w:rPr>
          <w:fldChar w:fldCharType="begin"/>
        </w:r>
        <w:r>
          <w:rPr>
            <w:noProof/>
          </w:rPr>
          <w:instrText xml:space="preserve"> NUMPAGES   \* MERGEFORMAT </w:instrText>
        </w:r>
        <w:r>
          <w:rPr>
            <w:noProof/>
          </w:rPr>
          <w:fldChar w:fldCharType="separate"/>
        </w:r>
        <w:r w:rsidR="00FC6A7F">
          <w:rPr>
            <w:noProof/>
          </w:rPr>
          <w:t>38</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BB" w:rsidRDefault="004302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C1" w:rsidRDefault="00E27FC1" w:rsidP="008F5985">
      <w:r>
        <w:separator/>
      </w:r>
    </w:p>
  </w:footnote>
  <w:footnote w:type="continuationSeparator" w:id="0">
    <w:p w:rsidR="00E27FC1" w:rsidRDefault="00E27FC1" w:rsidP="008F5985">
      <w:r>
        <w:continuationSeparator/>
      </w:r>
    </w:p>
  </w:footnote>
  <w:footnote w:id="1">
    <w:p w:rsidR="004302BB" w:rsidRPr="00A6465D" w:rsidRDefault="004302BB" w:rsidP="00A6465D">
      <w:pPr>
        <w:rPr>
          <w:b/>
          <w:bCs/>
          <w:sz w:val="20"/>
          <w:szCs w:val="20"/>
          <w:lang w:val="fr-CA"/>
        </w:rPr>
      </w:pPr>
      <w:r>
        <w:rPr>
          <w:rStyle w:val="FootnoteReference"/>
        </w:rPr>
        <w:footnoteRef/>
      </w:r>
      <w:r w:rsidRPr="007C4183">
        <w:rPr>
          <w:lang w:val="fr-CA"/>
        </w:rPr>
        <w:t xml:space="preserve"> </w:t>
      </w:r>
      <w:r w:rsidRPr="00A6465D">
        <w:rPr>
          <w:sz w:val="20"/>
          <w:szCs w:val="20"/>
          <w:lang w:val="fr-CA"/>
        </w:rPr>
        <w:t>Statistiques Canada</w:t>
      </w:r>
      <w:r>
        <w:rPr>
          <w:sz w:val="20"/>
          <w:szCs w:val="20"/>
          <w:lang w:val="fr-CA"/>
        </w:rPr>
        <w:t xml:space="preserve"> (2008</w:t>
      </w:r>
      <w:r w:rsidRPr="00A6465D">
        <w:rPr>
          <w:sz w:val="20"/>
          <w:szCs w:val="20"/>
          <w:lang w:val="fr-CA"/>
        </w:rPr>
        <w:t xml:space="preserve">), </w:t>
      </w:r>
      <w:hyperlink r:id="rId1" w:history="1">
        <w:r w:rsidRPr="00A6465D">
          <w:rPr>
            <w:rStyle w:val="Hyperlink"/>
            <w:bCs/>
            <w:sz w:val="20"/>
            <w:szCs w:val="20"/>
            <w:lang w:val="fr-CA"/>
          </w:rPr>
          <w:t>Minorité visible</w:t>
        </w:r>
      </w:hyperlink>
    </w:p>
  </w:footnote>
  <w:footnote w:id="2">
    <w:p w:rsidR="004302BB" w:rsidRDefault="004302BB" w:rsidP="005D6ADC">
      <w:pPr>
        <w:pStyle w:val="FootnoteText"/>
      </w:pPr>
      <w:r>
        <w:rPr>
          <w:rStyle w:val="FootnoteReference"/>
        </w:rPr>
        <w:footnoteRef/>
      </w:r>
      <w:r>
        <w:t xml:space="preserve"> Ville de Montréal (2019), </w:t>
      </w:r>
      <w:hyperlink r:id="rId2" w:history="1">
        <w:r w:rsidRPr="0002445F">
          <w:rPr>
            <w:rStyle w:val="Hyperlink"/>
          </w:rPr>
          <w:t>Document de</w:t>
        </w:r>
        <w:r w:rsidRPr="0002445F">
          <w:rPr>
            <w:rStyle w:val="Hyperlink"/>
            <w:bCs/>
          </w:rPr>
          <w:t xml:space="preserve"> </w:t>
        </w:r>
        <w:r w:rsidRPr="0002445F">
          <w:rPr>
            <w:rStyle w:val="Hyperlink"/>
          </w:rPr>
          <w:t>consultation</w:t>
        </w:r>
        <w:r w:rsidRPr="0002445F">
          <w:rPr>
            <w:rStyle w:val="Hyperlink"/>
            <w:bCs/>
          </w:rPr>
          <w:t xml:space="preserve"> préparé pour l’Office de consultation publique de Montréal</w:t>
        </w:r>
      </w:hyperlink>
      <w:r w:rsidRPr="0002445F">
        <w:rPr>
          <w:bCs/>
        </w:rPr>
        <w:t>, p.5</w:t>
      </w:r>
    </w:p>
  </w:footnote>
  <w:footnote w:id="3">
    <w:p w:rsidR="004302BB" w:rsidRDefault="004302BB" w:rsidP="008F5985">
      <w:pPr>
        <w:pStyle w:val="FootnoteText"/>
      </w:pPr>
      <w:r>
        <w:rPr>
          <w:rStyle w:val="FootnoteReference"/>
        </w:rPr>
        <w:footnoteRef/>
      </w:r>
      <w:r>
        <w:t xml:space="preserve"> CDPDJ, </w:t>
      </w:r>
      <w:hyperlink r:id="rId3" w:history="1">
        <w:r w:rsidRPr="0002445F">
          <w:rPr>
            <w:rStyle w:val="Hyperlink"/>
          </w:rPr>
          <w:t>Les programmes d’accès à l’égalité</w:t>
        </w:r>
      </w:hyperlink>
    </w:p>
  </w:footnote>
  <w:footnote w:id="4">
    <w:p w:rsidR="004302BB" w:rsidRPr="00F93B1E" w:rsidRDefault="004302BB" w:rsidP="008F5985">
      <w:pPr>
        <w:pStyle w:val="FootnoteText"/>
        <w:rPr>
          <w:lang w:val="fr-CA"/>
        </w:rPr>
      </w:pPr>
      <w:r>
        <w:rPr>
          <w:rStyle w:val="FootnoteReference"/>
        </w:rPr>
        <w:footnoteRef/>
      </w:r>
      <w:r>
        <w:t xml:space="preserve"> CDPDJ, </w:t>
      </w:r>
      <w:hyperlink r:id="rId4" w:history="1">
        <w:r w:rsidRPr="00643130">
          <w:rPr>
            <w:rStyle w:val="Hyperlink"/>
          </w:rPr>
          <w:t>Droits de la personne – Travail</w:t>
        </w:r>
      </w:hyperlink>
    </w:p>
  </w:footnote>
  <w:footnote w:id="5">
    <w:p w:rsidR="004302BB" w:rsidRPr="00C529DD" w:rsidRDefault="004302BB" w:rsidP="008F5985">
      <w:pPr>
        <w:pStyle w:val="FootnoteText"/>
      </w:pPr>
      <w:r>
        <w:rPr>
          <w:rStyle w:val="FootnoteReference"/>
        </w:rPr>
        <w:footnoteRef/>
      </w:r>
      <w:r>
        <w:t xml:space="preserve"> Chapitre I :« Libertés et droits fondamentaux » ; Chapitre I.1 : « Droit à l’égalité dans la reconnaissance et l’exercice des droits et libertés » ; Chapitre II : « Droits politiques » ; Chapitre III : « Droits judiciaires ».</w:t>
      </w:r>
    </w:p>
  </w:footnote>
  <w:footnote w:id="6">
    <w:p w:rsidR="004302BB" w:rsidRDefault="004302BB" w:rsidP="008F5985">
      <w:pPr>
        <w:pStyle w:val="FootnoteText"/>
      </w:pPr>
      <w:r>
        <w:rPr>
          <w:rStyle w:val="FootnoteReference"/>
        </w:rPr>
        <w:footnoteRef/>
      </w:r>
      <w:r>
        <w:t xml:space="preserve"> Article Le Devoir (10 octobre 2019), </w:t>
      </w:r>
      <w:hyperlink r:id="rId5" w:history="1">
        <w:r w:rsidRPr="00023196">
          <w:rPr>
            <w:rStyle w:val="Hyperlink"/>
            <w:bCs/>
          </w:rPr>
          <w:t>Hausse des plaintes à la Commission des droits de la personne</w:t>
        </w:r>
      </w:hyperlink>
    </w:p>
  </w:footnote>
  <w:footnote w:id="7">
    <w:p w:rsidR="004302BB" w:rsidRPr="0086642D" w:rsidRDefault="004302BB">
      <w:pPr>
        <w:pStyle w:val="FootnoteText"/>
        <w:rPr>
          <w:lang w:val="fr-CA"/>
        </w:rPr>
      </w:pPr>
      <w:r>
        <w:rPr>
          <w:rStyle w:val="FootnoteReference"/>
        </w:rPr>
        <w:footnoteRef/>
      </w:r>
      <w:r>
        <w:t xml:space="preserve"> Tribunal des droits de la personne (2008), </w:t>
      </w:r>
      <w:hyperlink r:id="rId6" w:history="1">
        <w:r w:rsidRPr="00B44231">
          <w:rPr>
            <w:rStyle w:val="Hyperlink"/>
          </w:rPr>
          <w:t>Rapport d’activités 2008-2009</w:t>
        </w:r>
      </w:hyperlink>
      <w:r>
        <w:rPr>
          <w:lang w:val="fr-CA"/>
        </w:rPr>
        <w:t>, p.19 (</w:t>
      </w:r>
      <w:r w:rsidRPr="00CF179D">
        <w:t>CDPDJ c. Gaz Métropolitain inc.</w:t>
      </w:r>
      <w:r>
        <w:t>)</w:t>
      </w:r>
    </w:p>
  </w:footnote>
  <w:footnote w:id="8">
    <w:p w:rsidR="004302BB" w:rsidRPr="000361B7" w:rsidRDefault="004302BB" w:rsidP="008F5985">
      <w:pPr>
        <w:pStyle w:val="FootnoteText"/>
      </w:pPr>
      <w:r>
        <w:rPr>
          <w:rStyle w:val="FootnoteReference"/>
        </w:rPr>
        <w:footnoteRef/>
      </w:r>
      <w:r>
        <w:t xml:space="preserve"> </w:t>
      </w:r>
      <w:r w:rsidRPr="000361B7">
        <w:t xml:space="preserve">Le trouble développemental du langage correspond à ce que l’on appelait la dyslexie. </w:t>
      </w:r>
    </w:p>
  </w:footnote>
  <w:footnote w:id="9">
    <w:p w:rsidR="004302BB" w:rsidRPr="00E03F8E" w:rsidRDefault="004302BB">
      <w:pPr>
        <w:pStyle w:val="FootnoteText"/>
        <w:rPr>
          <w:lang w:val="fr-CA"/>
        </w:rPr>
      </w:pPr>
      <w:r w:rsidRPr="000361B7">
        <w:rPr>
          <w:rStyle w:val="FootnoteReference"/>
        </w:rPr>
        <w:footnoteRef/>
      </w:r>
      <w:r w:rsidRPr="000361B7">
        <w:t xml:space="preserve"> Service de télécommunication qui permet aux personnes ayant un trouble d'audition d'utiliser la langue des signes (LSQ ou ASL) pour communiquer </w:t>
      </w:r>
      <w:r w:rsidRPr="000D022F">
        <w:t xml:space="preserve">avec les utilisateurs des services téléphoniques vocaux. L'utilisateur </w:t>
      </w:r>
      <w:r>
        <w:t xml:space="preserve">de la langue des signes </w:t>
      </w:r>
      <w:r w:rsidRPr="000D022F">
        <w:t xml:space="preserve">communique avec </w:t>
      </w:r>
      <w:r>
        <w:t xml:space="preserve">un </w:t>
      </w:r>
      <w:r w:rsidRPr="000D022F">
        <w:t>agent de relais</w:t>
      </w:r>
      <w:r>
        <w:t xml:space="preserve"> </w:t>
      </w:r>
      <w:r w:rsidRPr="000D022F">
        <w:t xml:space="preserve">du SRV au moyen </w:t>
      </w:r>
      <w:r>
        <w:t xml:space="preserve">d’un </w:t>
      </w:r>
      <w:r w:rsidRPr="000D022F">
        <w:t xml:space="preserve">service de vidéoconférence. L'agent de relais établit alors la communication téléphonique avec l'autre partie et assure le relais entre la communication </w:t>
      </w:r>
      <w:r>
        <w:t xml:space="preserve">signée </w:t>
      </w:r>
      <w:r w:rsidRPr="000D022F">
        <w:t>et la communication vocale, et vice versa.</w:t>
      </w:r>
    </w:p>
  </w:footnote>
  <w:footnote w:id="10">
    <w:p w:rsidR="004302BB" w:rsidRPr="00473BCB" w:rsidRDefault="004302BB" w:rsidP="002D2820">
      <w:r>
        <w:rPr>
          <w:rStyle w:val="FootnoteReference"/>
        </w:rPr>
        <w:footnoteRef/>
      </w:r>
      <w:r>
        <w:t xml:space="preserve"> </w:t>
      </w:r>
      <w:hyperlink r:id="rId7" w:anchor="se:10" w:history="1">
        <w:r w:rsidRPr="000F1258">
          <w:rPr>
            <w:rStyle w:val="Hyperlink"/>
          </w:rPr>
          <w:t>http://legisquebec.gouv.qc.ca/fr/showdoc/cs/C-12#se:10</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BB" w:rsidRDefault="004302BB" w:rsidP="008F5985">
    <w:pPr>
      <w:pStyle w:val="Header"/>
    </w:pPr>
    <w:r>
      <w:t xml:space="preserve">. </w:t>
    </w:r>
  </w:p>
  <w:p w:rsidR="004302BB" w:rsidRDefault="004302BB" w:rsidP="008F5985">
    <w:pPr>
      <w:pStyle w:val="Header"/>
    </w:pPr>
    <w:r>
      <w:t xml:space="preserve"> </w:t>
    </w:r>
  </w:p>
  <w:p w:rsidR="004302BB" w:rsidRDefault="004302BB" w:rsidP="008F5985">
    <w:pPr>
      <w:pStyle w:val="Header"/>
    </w:pPr>
    <w:r>
      <w:t xml:space="preserve"> </w:t>
    </w:r>
  </w:p>
  <w:p w:rsidR="004302BB" w:rsidRDefault="004302BB" w:rsidP="008F59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BB" w:rsidRDefault="004302BB" w:rsidP="008F5985">
    <w:pPr>
      <w:pStyle w:val="Header"/>
    </w:pPr>
    <w:r>
      <w:t>DéPhy Montréal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BB" w:rsidRDefault="004302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5CAE94"/>
    <w:lvl w:ilvl="0">
      <w:start w:val="1"/>
      <w:numFmt w:val="decimal"/>
      <w:pStyle w:val="ListNumber"/>
      <w:suff w:val="space"/>
      <w:lvlText w:val="%1."/>
      <w:lvlJc w:val="left"/>
      <w:pPr>
        <w:ind w:left="284" w:hanging="284"/>
      </w:pPr>
      <w:rPr>
        <w:rFonts w:hint="default"/>
      </w:rPr>
    </w:lvl>
  </w:abstractNum>
  <w:abstractNum w:abstractNumId="1" w15:restartNumberingAfterBreak="0">
    <w:nsid w:val="FFFFFF89"/>
    <w:multiLevelType w:val="singleLevel"/>
    <w:tmpl w:val="9A2049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A76FD"/>
    <w:multiLevelType w:val="hybridMultilevel"/>
    <w:tmpl w:val="45B219D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5B47DF"/>
    <w:multiLevelType w:val="hybridMultilevel"/>
    <w:tmpl w:val="E002522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27229"/>
    <w:multiLevelType w:val="hybridMultilevel"/>
    <w:tmpl w:val="CF4C2C9C"/>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764F1C"/>
    <w:multiLevelType w:val="hybridMultilevel"/>
    <w:tmpl w:val="59E4F81A"/>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DC5DD2"/>
    <w:multiLevelType w:val="hybridMultilevel"/>
    <w:tmpl w:val="175A410E"/>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4E36D5"/>
    <w:multiLevelType w:val="hybridMultilevel"/>
    <w:tmpl w:val="7BD4E418"/>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FC34F9"/>
    <w:multiLevelType w:val="hybridMultilevel"/>
    <w:tmpl w:val="DB5A868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E731DC"/>
    <w:multiLevelType w:val="multilevel"/>
    <w:tmpl w:val="5EE4CA6A"/>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407B52"/>
    <w:multiLevelType w:val="hybridMultilevel"/>
    <w:tmpl w:val="9A92531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892193"/>
    <w:multiLevelType w:val="hybridMultilevel"/>
    <w:tmpl w:val="8A94C99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C9629C"/>
    <w:multiLevelType w:val="hybridMultilevel"/>
    <w:tmpl w:val="957EA61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27435B"/>
    <w:multiLevelType w:val="hybridMultilevel"/>
    <w:tmpl w:val="6852904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D90650"/>
    <w:multiLevelType w:val="hybridMultilevel"/>
    <w:tmpl w:val="B1CC4D68"/>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3B79B0"/>
    <w:multiLevelType w:val="hybridMultilevel"/>
    <w:tmpl w:val="71241646"/>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221990"/>
    <w:multiLevelType w:val="hybridMultilevel"/>
    <w:tmpl w:val="AA22481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AD7137"/>
    <w:multiLevelType w:val="hybridMultilevel"/>
    <w:tmpl w:val="3678070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3415B1"/>
    <w:multiLevelType w:val="hybridMultilevel"/>
    <w:tmpl w:val="A910707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D453C1"/>
    <w:multiLevelType w:val="hybridMultilevel"/>
    <w:tmpl w:val="924A9352"/>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B71FAB"/>
    <w:multiLevelType w:val="hybridMultilevel"/>
    <w:tmpl w:val="206C2AE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3B1D87"/>
    <w:multiLevelType w:val="hybridMultilevel"/>
    <w:tmpl w:val="16E6F99C"/>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4C8411A"/>
    <w:multiLevelType w:val="hybridMultilevel"/>
    <w:tmpl w:val="C9EE46BC"/>
    <w:lvl w:ilvl="0" w:tplc="AA00433E">
      <w:start w:val="1"/>
      <w:numFmt w:val="bullet"/>
      <w:pStyle w:val="liste-niv-1"/>
      <w:lvlText w:val=""/>
      <w:lvlJc w:val="left"/>
      <w:pPr>
        <w:ind w:left="720" w:hanging="360"/>
      </w:pPr>
      <w:rPr>
        <w:rFonts w:ascii="Symbol" w:hAnsi="Symbol" w:hint="default"/>
      </w:rPr>
    </w:lvl>
    <w:lvl w:ilvl="1" w:tplc="0B0AF700">
      <w:start w:val="1"/>
      <w:numFmt w:val="bullet"/>
      <w:pStyle w:val="liste-niv-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B42FF6"/>
    <w:multiLevelType w:val="hybridMultilevel"/>
    <w:tmpl w:val="51FA44A6"/>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FA4C0B"/>
    <w:multiLevelType w:val="hybridMultilevel"/>
    <w:tmpl w:val="32568338"/>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B7129B"/>
    <w:multiLevelType w:val="hybridMultilevel"/>
    <w:tmpl w:val="DE90C3EA"/>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EC74DD"/>
    <w:multiLevelType w:val="hybridMultilevel"/>
    <w:tmpl w:val="44E451A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7329AA"/>
    <w:multiLevelType w:val="hybridMultilevel"/>
    <w:tmpl w:val="1D42D17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6A3F4A"/>
    <w:multiLevelType w:val="hybridMultilevel"/>
    <w:tmpl w:val="5CAE009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3E4E67"/>
    <w:multiLevelType w:val="hybridMultilevel"/>
    <w:tmpl w:val="F5926AB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FF6976"/>
    <w:multiLevelType w:val="multilevel"/>
    <w:tmpl w:val="632C0C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F8E66C2"/>
    <w:multiLevelType w:val="hybridMultilevel"/>
    <w:tmpl w:val="F1D89B2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7219AF"/>
    <w:multiLevelType w:val="hybridMultilevel"/>
    <w:tmpl w:val="2F229E36"/>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0C629C4"/>
    <w:multiLevelType w:val="hybridMultilevel"/>
    <w:tmpl w:val="0BE2231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480A40"/>
    <w:multiLevelType w:val="hybridMultilevel"/>
    <w:tmpl w:val="E340C06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5A3C3B"/>
    <w:multiLevelType w:val="hybridMultilevel"/>
    <w:tmpl w:val="B5843C7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C81222"/>
    <w:multiLevelType w:val="hybridMultilevel"/>
    <w:tmpl w:val="A8A6547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30"/>
  </w:num>
  <w:num w:numId="5">
    <w:abstractNumId w:val="22"/>
  </w:num>
  <w:num w:numId="6">
    <w:abstractNumId w:val="13"/>
  </w:num>
  <w:num w:numId="7">
    <w:abstractNumId w:val="17"/>
  </w:num>
  <w:num w:numId="8">
    <w:abstractNumId w:val="10"/>
  </w:num>
  <w:num w:numId="9">
    <w:abstractNumId w:val="29"/>
  </w:num>
  <w:num w:numId="10">
    <w:abstractNumId w:val="8"/>
  </w:num>
  <w:num w:numId="11">
    <w:abstractNumId w:val="28"/>
  </w:num>
  <w:num w:numId="12">
    <w:abstractNumId w:val="3"/>
  </w:num>
  <w:num w:numId="13">
    <w:abstractNumId w:val="20"/>
  </w:num>
  <w:num w:numId="14">
    <w:abstractNumId w:val="24"/>
  </w:num>
  <w:num w:numId="15">
    <w:abstractNumId w:val="12"/>
  </w:num>
  <w:num w:numId="16">
    <w:abstractNumId w:val="26"/>
  </w:num>
  <w:num w:numId="17">
    <w:abstractNumId w:val="5"/>
  </w:num>
  <w:num w:numId="18">
    <w:abstractNumId w:val="25"/>
  </w:num>
  <w:num w:numId="19">
    <w:abstractNumId w:val="35"/>
  </w:num>
  <w:num w:numId="20">
    <w:abstractNumId w:val="32"/>
  </w:num>
  <w:num w:numId="21">
    <w:abstractNumId w:val="7"/>
  </w:num>
  <w:num w:numId="22">
    <w:abstractNumId w:val="6"/>
  </w:num>
  <w:num w:numId="23">
    <w:abstractNumId w:val="4"/>
  </w:num>
  <w:num w:numId="24">
    <w:abstractNumId w:val="21"/>
  </w:num>
  <w:num w:numId="25">
    <w:abstractNumId w:val="19"/>
  </w:num>
  <w:num w:numId="26">
    <w:abstractNumId w:val="14"/>
  </w:num>
  <w:num w:numId="27">
    <w:abstractNumId w:val="33"/>
  </w:num>
  <w:num w:numId="28">
    <w:abstractNumId w:val="23"/>
  </w:num>
  <w:num w:numId="29">
    <w:abstractNumId w:val="36"/>
  </w:num>
  <w:num w:numId="30">
    <w:abstractNumId w:val="15"/>
  </w:num>
  <w:num w:numId="31">
    <w:abstractNumId w:val="11"/>
  </w:num>
  <w:num w:numId="32">
    <w:abstractNumId w:val="16"/>
  </w:num>
  <w:num w:numId="33">
    <w:abstractNumId w:val="31"/>
  </w:num>
  <w:num w:numId="34">
    <w:abstractNumId w:val="2"/>
  </w:num>
  <w:num w:numId="35">
    <w:abstractNumId w:val="18"/>
  </w:num>
  <w:num w:numId="36">
    <w:abstractNumId w:val="34"/>
  </w:num>
  <w:num w:numId="37">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D7"/>
    <w:rsid w:val="00000BC2"/>
    <w:rsid w:val="000061C8"/>
    <w:rsid w:val="0001355F"/>
    <w:rsid w:val="000144E3"/>
    <w:rsid w:val="000150E7"/>
    <w:rsid w:val="000152D1"/>
    <w:rsid w:val="00016649"/>
    <w:rsid w:val="0002014C"/>
    <w:rsid w:val="000203EA"/>
    <w:rsid w:val="000211F7"/>
    <w:rsid w:val="00021861"/>
    <w:rsid w:val="0002307C"/>
    <w:rsid w:val="00023BC6"/>
    <w:rsid w:val="00023E6E"/>
    <w:rsid w:val="00024F6C"/>
    <w:rsid w:val="00025225"/>
    <w:rsid w:val="00025F44"/>
    <w:rsid w:val="00031592"/>
    <w:rsid w:val="00032846"/>
    <w:rsid w:val="000329BC"/>
    <w:rsid w:val="00033451"/>
    <w:rsid w:val="0003460E"/>
    <w:rsid w:val="00034ECD"/>
    <w:rsid w:val="00034EE1"/>
    <w:rsid w:val="0003521C"/>
    <w:rsid w:val="000361B7"/>
    <w:rsid w:val="00036F51"/>
    <w:rsid w:val="00036FB2"/>
    <w:rsid w:val="00041699"/>
    <w:rsid w:val="00042162"/>
    <w:rsid w:val="000447D6"/>
    <w:rsid w:val="00046A3F"/>
    <w:rsid w:val="00052569"/>
    <w:rsid w:val="000526C0"/>
    <w:rsid w:val="00055934"/>
    <w:rsid w:val="00056CEF"/>
    <w:rsid w:val="000575ED"/>
    <w:rsid w:val="00057D8B"/>
    <w:rsid w:val="0006027A"/>
    <w:rsid w:val="000611F2"/>
    <w:rsid w:val="000618BE"/>
    <w:rsid w:val="0006399C"/>
    <w:rsid w:val="00064B59"/>
    <w:rsid w:val="00065A4B"/>
    <w:rsid w:val="00065EFB"/>
    <w:rsid w:val="00067BDC"/>
    <w:rsid w:val="00073948"/>
    <w:rsid w:val="0007498C"/>
    <w:rsid w:val="00074EBC"/>
    <w:rsid w:val="00076270"/>
    <w:rsid w:val="00080D5F"/>
    <w:rsid w:val="00081FCE"/>
    <w:rsid w:val="000830C1"/>
    <w:rsid w:val="00083628"/>
    <w:rsid w:val="000843C4"/>
    <w:rsid w:val="000846AD"/>
    <w:rsid w:val="00090DA1"/>
    <w:rsid w:val="000919F4"/>
    <w:rsid w:val="000926DC"/>
    <w:rsid w:val="0009568D"/>
    <w:rsid w:val="00096B03"/>
    <w:rsid w:val="000A5BF7"/>
    <w:rsid w:val="000B3766"/>
    <w:rsid w:val="000B3E58"/>
    <w:rsid w:val="000B47AF"/>
    <w:rsid w:val="000B621B"/>
    <w:rsid w:val="000B63E5"/>
    <w:rsid w:val="000B73DA"/>
    <w:rsid w:val="000B741B"/>
    <w:rsid w:val="000C4600"/>
    <w:rsid w:val="000D1C44"/>
    <w:rsid w:val="000D3C33"/>
    <w:rsid w:val="000D4318"/>
    <w:rsid w:val="000D69DA"/>
    <w:rsid w:val="000D7030"/>
    <w:rsid w:val="000D7436"/>
    <w:rsid w:val="000E3FE9"/>
    <w:rsid w:val="000E779D"/>
    <w:rsid w:val="000F083E"/>
    <w:rsid w:val="000F7F45"/>
    <w:rsid w:val="001010DC"/>
    <w:rsid w:val="00102341"/>
    <w:rsid w:val="00107093"/>
    <w:rsid w:val="0011293E"/>
    <w:rsid w:val="0012190B"/>
    <w:rsid w:val="00122676"/>
    <w:rsid w:val="00123F56"/>
    <w:rsid w:val="001267DA"/>
    <w:rsid w:val="001317EE"/>
    <w:rsid w:val="001333F4"/>
    <w:rsid w:val="0013499D"/>
    <w:rsid w:val="00135C0F"/>
    <w:rsid w:val="001364DB"/>
    <w:rsid w:val="001406B8"/>
    <w:rsid w:val="00142B24"/>
    <w:rsid w:val="00142FFD"/>
    <w:rsid w:val="00143211"/>
    <w:rsid w:val="00143712"/>
    <w:rsid w:val="00143794"/>
    <w:rsid w:val="0014487A"/>
    <w:rsid w:val="0014570F"/>
    <w:rsid w:val="001540A5"/>
    <w:rsid w:val="00160D7B"/>
    <w:rsid w:val="00162F71"/>
    <w:rsid w:val="00164166"/>
    <w:rsid w:val="00166DF8"/>
    <w:rsid w:val="00167DB7"/>
    <w:rsid w:val="001700EF"/>
    <w:rsid w:val="0017033F"/>
    <w:rsid w:val="0017046C"/>
    <w:rsid w:val="0017217D"/>
    <w:rsid w:val="00173CAD"/>
    <w:rsid w:val="00173D14"/>
    <w:rsid w:val="0017474A"/>
    <w:rsid w:val="00175767"/>
    <w:rsid w:val="0017598A"/>
    <w:rsid w:val="00177E73"/>
    <w:rsid w:val="00180E4E"/>
    <w:rsid w:val="00181BCB"/>
    <w:rsid w:val="00182888"/>
    <w:rsid w:val="001849BB"/>
    <w:rsid w:val="001860BF"/>
    <w:rsid w:val="001878D9"/>
    <w:rsid w:val="00190CCB"/>
    <w:rsid w:val="00191161"/>
    <w:rsid w:val="001916D8"/>
    <w:rsid w:val="00194990"/>
    <w:rsid w:val="00195BE1"/>
    <w:rsid w:val="001A1BDB"/>
    <w:rsid w:val="001A2481"/>
    <w:rsid w:val="001A57EA"/>
    <w:rsid w:val="001B0755"/>
    <w:rsid w:val="001B07F0"/>
    <w:rsid w:val="001B1F43"/>
    <w:rsid w:val="001B327A"/>
    <w:rsid w:val="001B4745"/>
    <w:rsid w:val="001B5553"/>
    <w:rsid w:val="001B7EE7"/>
    <w:rsid w:val="001C12C5"/>
    <w:rsid w:val="001C2F61"/>
    <w:rsid w:val="001C322B"/>
    <w:rsid w:val="001C3B70"/>
    <w:rsid w:val="001C41E4"/>
    <w:rsid w:val="001C5311"/>
    <w:rsid w:val="001C6A95"/>
    <w:rsid w:val="001D0338"/>
    <w:rsid w:val="001D054C"/>
    <w:rsid w:val="001D1660"/>
    <w:rsid w:val="001D2351"/>
    <w:rsid w:val="001D24DC"/>
    <w:rsid w:val="001D4C9F"/>
    <w:rsid w:val="001D6C42"/>
    <w:rsid w:val="001D7B13"/>
    <w:rsid w:val="001E0041"/>
    <w:rsid w:val="001E26CF"/>
    <w:rsid w:val="001E33B3"/>
    <w:rsid w:val="001E3E68"/>
    <w:rsid w:val="001E4771"/>
    <w:rsid w:val="001E6CF9"/>
    <w:rsid w:val="001F05EF"/>
    <w:rsid w:val="001F0D93"/>
    <w:rsid w:val="001F169F"/>
    <w:rsid w:val="001F2D8C"/>
    <w:rsid w:val="001F4025"/>
    <w:rsid w:val="001F71A8"/>
    <w:rsid w:val="002003B4"/>
    <w:rsid w:val="00200B4F"/>
    <w:rsid w:val="00202714"/>
    <w:rsid w:val="00204198"/>
    <w:rsid w:val="00206418"/>
    <w:rsid w:val="00210E7B"/>
    <w:rsid w:val="00215682"/>
    <w:rsid w:val="00217909"/>
    <w:rsid w:val="00217995"/>
    <w:rsid w:val="00221EB6"/>
    <w:rsid w:val="00222008"/>
    <w:rsid w:val="002252D6"/>
    <w:rsid w:val="0022592D"/>
    <w:rsid w:val="00225F22"/>
    <w:rsid w:val="00226C79"/>
    <w:rsid w:val="0023072B"/>
    <w:rsid w:val="002328F9"/>
    <w:rsid w:val="00232DAD"/>
    <w:rsid w:val="002346F9"/>
    <w:rsid w:val="0023525E"/>
    <w:rsid w:val="00236C49"/>
    <w:rsid w:val="00236EEA"/>
    <w:rsid w:val="002373FB"/>
    <w:rsid w:val="0024137D"/>
    <w:rsid w:val="00241E1A"/>
    <w:rsid w:val="0024221A"/>
    <w:rsid w:val="002430C6"/>
    <w:rsid w:val="002432EE"/>
    <w:rsid w:val="00243426"/>
    <w:rsid w:val="00244BE3"/>
    <w:rsid w:val="0024665C"/>
    <w:rsid w:val="00251376"/>
    <w:rsid w:val="0025184E"/>
    <w:rsid w:val="002518DE"/>
    <w:rsid w:val="00252FAB"/>
    <w:rsid w:val="00253E79"/>
    <w:rsid w:val="00254EBE"/>
    <w:rsid w:val="0025575C"/>
    <w:rsid w:val="00255F25"/>
    <w:rsid w:val="00255F61"/>
    <w:rsid w:val="00257EBF"/>
    <w:rsid w:val="00260EDD"/>
    <w:rsid w:val="00261F23"/>
    <w:rsid w:val="002629C3"/>
    <w:rsid w:val="002636FA"/>
    <w:rsid w:val="00264241"/>
    <w:rsid w:val="002659DB"/>
    <w:rsid w:val="00265E99"/>
    <w:rsid w:val="00266ABD"/>
    <w:rsid w:val="002679F5"/>
    <w:rsid w:val="00270251"/>
    <w:rsid w:val="00270447"/>
    <w:rsid w:val="0027197F"/>
    <w:rsid w:val="00273361"/>
    <w:rsid w:val="0027500E"/>
    <w:rsid w:val="00275DF8"/>
    <w:rsid w:val="00275EC1"/>
    <w:rsid w:val="00276235"/>
    <w:rsid w:val="00276489"/>
    <w:rsid w:val="0027669A"/>
    <w:rsid w:val="0027783B"/>
    <w:rsid w:val="00280C6C"/>
    <w:rsid w:val="002825DC"/>
    <w:rsid w:val="002828DC"/>
    <w:rsid w:val="00283E94"/>
    <w:rsid w:val="0028496A"/>
    <w:rsid w:val="00286008"/>
    <w:rsid w:val="002864B2"/>
    <w:rsid w:val="00286AE1"/>
    <w:rsid w:val="00287B4B"/>
    <w:rsid w:val="002904D0"/>
    <w:rsid w:val="002911F8"/>
    <w:rsid w:val="00292DE4"/>
    <w:rsid w:val="0029311B"/>
    <w:rsid w:val="00293AEE"/>
    <w:rsid w:val="00294821"/>
    <w:rsid w:val="00294827"/>
    <w:rsid w:val="0029496E"/>
    <w:rsid w:val="00295C33"/>
    <w:rsid w:val="00296C48"/>
    <w:rsid w:val="002A0F4B"/>
    <w:rsid w:val="002A4C47"/>
    <w:rsid w:val="002B63EF"/>
    <w:rsid w:val="002B660B"/>
    <w:rsid w:val="002B750A"/>
    <w:rsid w:val="002C075B"/>
    <w:rsid w:val="002C0A9E"/>
    <w:rsid w:val="002C11EA"/>
    <w:rsid w:val="002C3066"/>
    <w:rsid w:val="002C313A"/>
    <w:rsid w:val="002C4259"/>
    <w:rsid w:val="002C4529"/>
    <w:rsid w:val="002C6223"/>
    <w:rsid w:val="002C657A"/>
    <w:rsid w:val="002C683C"/>
    <w:rsid w:val="002C709E"/>
    <w:rsid w:val="002C7E6F"/>
    <w:rsid w:val="002D0458"/>
    <w:rsid w:val="002D04FB"/>
    <w:rsid w:val="002D0C23"/>
    <w:rsid w:val="002D254F"/>
    <w:rsid w:val="002D2820"/>
    <w:rsid w:val="002D35E7"/>
    <w:rsid w:val="002D3B85"/>
    <w:rsid w:val="002D3C0D"/>
    <w:rsid w:val="002D7212"/>
    <w:rsid w:val="002D7874"/>
    <w:rsid w:val="002E0490"/>
    <w:rsid w:val="002E0A18"/>
    <w:rsid w:val="002E0C0C"/>
    <w:rsid w:val="002E2C94"/>
    <w:rsid w:val="002E47D6"/>
    <w:rsid w:val="002F108D"/>
    <w:rsid w:val="002F1508"/>
    <w:rsid w:val="002F2536"/>
    <w:rsid w:val="002F29DF"/>
    <w:rsid w:val="002F2B9D"/>
    <w:rsid w:val="002F2E49"/>
    <w:rsid w:val="002F37B5"/>
    <w:rsid w:val="002F515D"/>
    <w:rsid w:val="002F56EE"/>
    <w:rsid w:val="002F7BAD"/>
    <w:rsid w:val="0030038B"/>
    <w:rsid w:val="00300458"/>
    <w:rsid w:val="00300566"/>
    <w:rsid w:val="00300843"/>
    <w:rsid w:val="00301073"/>
    <w:rsid w:val="00302A59"/>
    <w:rsid w:val="00302FBF"/>
    <w:rsid w:val="00303D6B"/>
    <w:rsid w:val="00303FF0"/>
    <w:rsid w:val="003040CE"/>
    <w:rsid w:val="003054D9"/>
    <w:rsid w:val="00306908"/>
    <w:rsid w:val="00310A5B"/>
    <w:rsid w:val="00312DFD"/>
    <w:rsid w:val="00315E6C"/>
    <w:rsid w:val="00317BAD"/>
    <w:rsid w:val="0032003C"/>
    <w:rsid w:val="00322452"/>
    <w:rsid w:val="003270E8"/>
    <w:rsid w:val="00330D4E"/>
    <w:rsid w:val="0033100C"/>
    <w:rsid w:val="003326B0"/>
    <w:rsid w:val="00332A79"/>
    <w:rsid w:val="00332DF8"/>
    <w:rsid w:val="00333DAC"/>
    <w:rsid w:val="00334251"/>
    <w:rsid w:val="00335616"/>
    <w:rsid w:val="00335C17"/>
    <w:rsid w:val="00340E64"/>
    <w:rsid w:val="00344408"/>
    <w:rsid w:val="003446A1"/>
    <w:rsid w:val="00345768"/>
    <w:rsid w:val="00346C87"/>
    <w:rsid w:val="00350221"/>
    <w:rsid w:val="003504E0"/>
    <w:rsid w:val="003535FB"/>
    <w:rsid w:val="0035487D"/>
    <w:rsid w:val="003575FD"/>
    <w:rsid w:val="003615A3"/>
    <w:rsid w:val="00361D9E"/>
    <w:rsid w:val="00362EB8"/>
    <w:rsid w:val="00364334"/>
    <w:rsid w:val="0036536A"/>
    <w:rsid w:val="003668E8"/>
    <w:rsid w:val="00367D72"/>
    <w:rsid w:val="003709EF"/>
    <w:rsid w:val="00370E32"/>
    <w:rsid w:val="003722A6"/>
    <w:rsid w:val="00374B07"/>
    <w:rsid w:val="003751B6"/>
    <w:rsid w:val="00376045"/>
    <w:rsid w:val="00381C48"/>
    <w:rsid w:val="003921D0"/>
    <w:rsid w:val="0039365B"/>
    <w:rsid w:val="00393A9A"/>
    <w:rsid w:val="00393CDF"/>
    <w:rsid w:val="003940EE"/>
    <w:rsid w:val="003979E3"/>
    <w:rsid w:val="00397A17"/>
    <w:rsid w:val="003A1696"/>
    <w:rsid w:val="003A21F0"/>
    <w:rsid w:val="003A492B"/>
    <w:rsid w:val="003B1797"/>
    <w:rsid w:val="003B26FF"/>
    <w:rsid w:val="003B4493"/>
    <w:rsid w:val="003B4901"/>
    <w:rsid w:val="003B4FAF"/>
    <w:rsid w:val="003B6F6E"/>
    <w:rsid w:val="003C1A7C"/>
    <w:rsid w:val="003C2325"/>
    <w:rsid w:val="003C2911"/>
    <w:rsid w:val="003C3334"/>
    <w:rsid w:val="003C4847"/>
    <w:rsid w:val="003C4DB7"/>
    <w:rsid w:val="003C7194"/>
    <w:rsid w:val="003C79C2"/>
    <w:rsid w:val="003D0001"/>
    <w:rsid w:val="003D07B2"/>
    <w:rsid w:val="003D12C4"/>
    <w:rsid w:val="003D2FD3"/>
    <w:rsid w:val="003D47EE"/>
    <w:rsid w:val="003D4CB2"/>
    <w:rsid w:val="003D56F8"/>
    <w:rsid w:val="003D5DA2"/>
    <w:rsid w:val="003E0C10"/>
    <w:rsid w:val="003E32D9"/>
    <w:rsid w:val="003E4423"/>
    <w:rsid w:val="003E767F"/>
    <w:rsid w:val="003F0512"/>
    <w:rsid w:val="003F1609"/>
    <w:rsid w:val="003F32C2"/>
    <w:rsid w:val="003F4FB0"/>
    <w:rsid w:val="003F5D62"/>
    <w:rsid w:val="003F6113"/>
    <w:rsid w:val="003F72EF"/>
    <w:rsid w:val="003F78E8"/>
    <w:rsid w:val="00403690"/>
    <w:rsid w:val="00403AA4"/>
    <w:rsid w:val="0040459D"/>
    <w:rsid w:val="004119C5"/>
    <w:rsid w:val="00413370"/>
    <w:rsid w:val="00414278"/>
    <w:rsid w:val="00414A2F"/>
    <w:rsid w:val="00415C45"/>
    <w:rsid w:val="00416D26"/>
    <w:rsid w:val="00420768"/>
    <w:rsid w:val="00421764"/>
    <w:rsid w:val="0042191A"/>
    <w:rsid w:val="004221DF"/>
    <w:rsid w:val="0042223C"/>
    <w:rsid w:val="004235E9"/>
    <w:rsid w:val="00424808"/>
    <w:rsid w:val="00425FF7"/>
    <w:rsid w:val="004302BB"/>
    <w:rsid w:val="0043057F"/>
    <w:rsid w:val="004320AA"/>
    <w:rsid w:val="004334B2"/>
    <w:rsid w:val="0043476A"/>
    <w:rsid w:val="00435C34"/>
    <w:rsid w:val="00440E3A"/>
    <w:rsid w:val="00442943"/>
    <w:rsid w:val="0045098B"/>
    <w:rsid w:val="00451333"/>
    <w:rsid w:val="0045222D"/>
    <w:rsid w:val="00452514"/>
    <w:rsid w:val="0045536E"/>
    <w:rsid w:val="00455AAA"/>
    <w:rsid w:val="00456074"/>
    <w:rsid w:val="004568ED"/>
    <w:rsid w:val="00460BC0"/>
    <w:rsid w:val="00463BA1"/>
    <w:rsid w:val="00467E21"/>
    <w:rsid w:val="00470246"/>
    <w:rsid w:val="004710A0"/>
    <w:rsid w:val="0047182A"/>
    <w:rsid w:val="00471F3F"/>
    <w:rsid w:val="00473D0C"/>
    <w:rsid w:val="004750CD"/>
    <w:rsid w:val="004836B2"/>
    <w:rsid w:val="004838B5"/>
    <w:rsid w:val="00483C3B"/>
    <w:rsid w:val="00485D86"/>
    <w:rsid w:val="0049001F"/>
    <w:rsid w:val="00490060"/>
    <w:rsid w:val="00490EED"/>
    <w:rsid w:val="004946D2"/>
    <w:rsid w:val="00494E4D"/>
    <w:rsid w:val="00495730"/>
    <w:rsid w:val="00495E5F"/>
    <w:rsid w:val="00496924"/>
    <w:rsid w:val="00497E14"/>
    <w:rsid w:val="004A0F89"/>
    <w:rsid w:val="004A1B95"/>
    <w:rsid w:val="004A1D67"/>
    <w:rsid w:val="004A598B"/>
    <w:rsid w:val="004A5FA9"/>
    <w:rsid w:val="004A6EA7"/>
    <w:rsid w:val="004B1050"/>
    <w:rsid w:val="004B2ADD"/>
    <w:rsid w:val="004B372C"/>
    <w:rsid w:val="004B3BD0"/>
    <w:rsid w:val="004B4764"/>
    <w:rsid w:val="004B6F5D"/>
    <w:rsid w:val="004B7247"/>
    <w:rsid w:val="004C0E30"/>
    <w:rsid w:val="004C15E3"/>
    <w:rsid w:val="004C1DE1"/>
    <w:rsid w:val="004C2425"/>
    <w:rsid w:val="004C2515"/>
    <w:rsid w:val="004C2B27"/>
    <w:rsid w:val="004C4098"/>
    <w:rsid w:val="004C6482"/>
    <w:rsid w:val="004D074C"/>
    <w:rsid w:val="004D0B2F"/>
    <w:rsid w:val="004D1CD2"/>
    <w:rsid w:val="004D2B12"/>
    <w:rsid w:val="004D4BFB"/>
    <w:rsid w:val="004D79AF"/>
    <w:rsid w:val="004E055C"/>
    <w:rsid w:val="004E4542"/>
    <w:rsid w:val="004E4D09"/>
    <w:rsid w:val="004E7C23"/>
    <w:rsid w:val="004E7D60"/>
    <w:rsid w:val="004F0E43"/>
    <w:rsid w:val="004F45D0"/>
    <w:rsid w:val="004F56D9"/>
    <w:rsid w:val="004F7D10"/>
    <w:rsid w:val="00500381"/>
    <w:rsid w:val="00500A00"/>
    <w:rsid w:val="00501B2C"/>
    <w:rsid w:val="00502474"/>
    <w:rsid w:val="005025F7"/>
    <w:rsid w:val="00502B77"/>
    <w:rsid w:val="00502E54"/>
    <w:rsid w:val="00503DE4"/>
    <w:rsid w:val="00504675"/>
    <w:rsid w:val="00504D7A"/>
    <w:rsid w:val="00505FF4"/>
    <w:rsid w:val="00506293"/>
    <w:rsid w:val="00506683"/>
    <w:rsid w:val="00506F83"/>
    <w:rsid w:val="00507009"/>
    <w:rsid w:val="005107D5"/>
    <w:rsid w:val="005117B1"/>
    <w:rsid w:val="00512086"/>
    <w:rsid w:val="005122E2"/>
    <w:rsid w:val="0051415E"/>
    <w:rsid w:val="00514C0B"/>
    <w:rsid w:val="0051758C"/>
    <w:rsid w:val="00520F3A"/>
    <w:rsid w:val="0052478B"/>
    <w:rsid w:val="00524A84"/>
    <w:rsid w:val="0052590A"/>
    <w:rsid w:val="005277FD"/>
    <w:rsid w:val="0053069D"/>
    <w:rsid w:val="0053255A"/>
    <w:rsid w:val="00533C42"/>
    <w:rsid w:val="00534045"/>
    <w:rsid w:val="0053476E"/>
    <w:rsid w:val="005354AB"/>
    <w:rsid w:val="00535DD7"/>
    <w:rsid w:val="0053680F"/>
    <w:rsid w:val="00540324"/>
    <w:rsid w:val="005403EC"/>
    <w:rsid w:val="005425CA"/>
    <w:rsid w:val="005438F2"/>
    <w:rsid w:val="0054599F"/>
    <w:rsid w:val="00547DD7"/>
    <w:rsid w:val="00551B0D"/>
    <w:rsid w:val="00553BC1"/>
    <w:rsid w:val="005548B2"/>
    <w:rsid w:val="0055504C"/>
    <w:rsid w:val="00557278"/>
    <w:rsid w:val="00557CC3"/>
    <w:rsid w:val="00560C48"/>
    <w:rsid w:val="005613BA"/>
    <w:rsid w:val="00561A05"/>
    <w:rsid w:val="00562016"/>
    <w:rsid w:val="005632BF"/>
    <w:rsid w:val="005632F7"/>
    <w:rsid w:val="005652BF"/>
    <w:rsid w:val="00565495"/>
    <w:rsid w:val="005658FF"/>
    <w:rsid w:val="00567F6C"/>
    <w:rsid w:val="00570910"/>
    <w:rsid w:val="005720D6"/>
    <w:rsid w:val="00574829"/>
    <w:rsid w:val="0057565C"/>
    <w:rsid w:val="0057587B"/>
    <w:rsid w:val="0057674E"/>
    <w:rsid w:val="00576D09"/>
    <w:rsid w:val="00577FEA"/>
    <w:rsid w:val="00580934"/>
    <w:rsid w:val="00581566"/>
    <w:rsid w:val="005832EF"/>
    <w:rsid w:val="00584790"/>
    <w:rsid w:val="0058559B"/>
    <w:rsid w:val="005855EB"/>
    <w:rsid w:val="005904D2"/>
    <w:rsid w:val="00591C48"/>
    <w:rsid w:val="00592A6C"/>
    <w:rsid w:val="005952C9"/>
    <w:rsid w:val="00596853"/>
    <w:rsid w:val="005972CA"/>
    <w:rsid w:val="005A3687"/>
    <w:rsid w:val="005A4112"/>
    <w:rsid w:val="005A51D4"/>
    <w:rsid w:val="005A6227"/>
    <w:rsid w:val="005A6F5C"/>
    <w:rsid w:val="005A7D0B"/>
    <w:rsid w:val="005B0F76"/>
    <w:rsid w:val="005B2B07"/>
    <w:rsid w:val="005B3391"/>
    <w:rsid w:val="005B3957"/>
    <w:rsid w:val="005B597F"/>
    <w:rsid w:val="005C0A58"/>
    <w:rsid w:val="005C16EE"/>
    <w:rsid w:val="005C36BA"/>
    <w:rsid w:val="005C4368"/>
    <w:rsid w:val="005C4A85"/>
    <w:rsid w:val="005C727B"/>
    <w:rsid w:val="005D4749"/>
    <w:rsid w:val="005D4B42"/>
    <w:rsid w:val="005D654C"/>
    <w:rsid w:val="005D6ADC"/>
    <w:rsid w:val="005D7B3A"/>
    <w:rsid w:val="005E067F"/>
    <w:rsid w:val="005E143F"/>
    <w:rsid w:val="005E1925"/>
    <w:rsid w:val="005E3196"/>
    <w:rsid w:val="005E3775"/>
    <w:rsid w:val="005E4777"/>
    <w:rsid w:val="005E67AB"/>
    <w:rsid w:val="005E72A2"/>
    <w:rsid w:val="005F0247"/>
    <w:rsid w:val="005F2B54"/>
    <w:rsid w:val="005F45C0"/>
    <w:rsid w:val="005F4A7C"/>
    <w:rsid w:val="00600274"/>
    <w:rsid w:val="00600903"/>
    <w:rsid w:val="00600D46"/>
    <w:rsid w:val="00601080"/>
    <w:rsid w:val="006065B4"/>
    <w:rsid w:val="0061020D"/>
    <w:rsid w:val="00610FF6"/>
    <w:rsid w:val="00612C87"/>
    <w:rsid w:val="0061367C"/>
    <w:rsid w:val="006144F9"/>
    <w:rsid w:val="00622DDA"/>
    <w:rsid w:val="00626A9C"/>
    <w:rsid w:val="0063444B"/>
    <w:rsid w:val="00636145"/>
    <w:rsid w:val="00636F31"/>
    <w:rsid w:val="006377E6"/>
    <w:rsid w:val="00637A22"/>
    <w:rsid w:val="006416DE"/>
    <w:rsid w:val="0064189C"/>
    <w:rsid w:val="00643130"/>
    <w:rsid w:val="00643B30"/>
    <w:rsid w:val="006441F0"/>
    <w:rsid w:val="00651358"/>
    <w:rsid w:val="00651725"/>
    <w:rsid w:val="006521BC"/>
    <w:rsid w:val="006523C5"/>
    <w:rsid w:val="0065243A"/>
    <w:rsid w:val="0065261B"/>
    <w:rsid w:val="00653410"/>
    <w:rsid w:val="0065583C"/>
    <w:rsid w:val="00657873"/>
    <w:rsid w:val="00663DF9"/>
    <w:rsid w:val="00666B8C"/>
    <w:rsid w:val="00667D8A"/>
    <w:rsid w:val="00671F65"/>
    <w:rsid w:val="00672142"/>
    <w:rsid w:val="00672DAD"/>
    <w:rsid w:val="006762B8"/>
    <w:rsid w:val="0067716F"/>
    <w:rsid w:val="00677580"/>
    <w:rsid w:val="00681FC0"/>
    <w:rsid w:val="00683846"/>
    <w:rsid w:val="0068569F"/>
    <w:rsid w:val="006938A7"/>
    <w:rsid w:val="006944CB"/>
    <w:rsid w:val="006976B6"/>
    <w:rsid w:val="006A03D3"/>
    <w:rsid w:val="006A0779"/>
    <w:rsid w:val="006A1476"/>
    <w:rsid w:val="006A156F"/>
    <w:rsid w:val="006A24D5"/>
    <w:rsid w:val="006A2D51"/>
    <w:rsid w:val="006A3422"/>
    <w:rsid w:val="006A3583"/>
    <w:rsid w:val="006A38F6"/>
    <w:rsid w:val="006A4A9A"/>
    <w:rsid w:val="006A4D4A"/>
    <w:rsid w:val="006A760E"/>
    <w:rsid w:val="006A7C0D"/>
    <w:rsid w:val="006B2693"/>
    <w:rsid w:val="006B294E"/>
    <w:rsid w:val="006B29C6"/>
    <w:rsid w:val="006B340C"/>
    <w:rsid w:val="006B55AB"/>
    <w:rsid w:val="006B6BFC"/>
    <w:rsid w:val="006B71E0"/>
    <w:rsid w:val="006C16BA"/>
    <w:rsid w:val="006C1AA7"/>
    <w:rsid w:val="006C2E7A"/>
    <w:rsid w:val="006C5DAE"/>
    <w:rsid w:val="006C6C68"/>
    <w:rsid w:val="006C72D9"/>
    <w:rsid w:val="006C7E53"/>
    <w:rsid w:val="006D2026"/>
    <w:rsid w:val="006D2F43"/>
    <w:rsid w:val="006D37B5"/>
    <w:rsid w:val="006D44D6"/>
    <w:rsid w:val="006D55D1"/>
    <w:rsid w:val="006D5D70"/>
    <w:rsid w:val="006E08CE"/>
    <w:rsid w:val="006E08F6"/>
    <w:rsid w:val="006E0E41"/>
    <w:rsid w:val="006E37A2"/>
    <w:rsid w:val="006E4403"/>
    <w:rsid w:val="006E4ACB"/>
    <w:rsid w:val="006E61BE"/>
    <w:rsid w:val="006F0CFB"/>
    <w:rsid w:val="006F4BB7"/>
    <w:rsid w:val="006F6104"/>
    <w:rsid w:val="006F6516"/>
    <w:rsid w:val="00701785"/>
    <w:rsid w:val="00702A45"/>
    <w:rsid w:val="00710B67"/>
    <w:rsid w:val="00710CC9"/>
    <w:rsid w:val="00711638"/>
    <w:rsid w:val="007129FB"/>
    <w:rsid w:val="00715103"/>
    <w:rsid w:val="0071678A"/>
    <w:rsid w:val="00717746"/>
    <w:rsid w:val="00720C3E"/>
    <w:rsid w:val="00721A3D"/>
    <w:rsid w:val="00723269"/>
    <w:rsid w:val="00723C87"/>
    <w:rsid w:val="00723E3A"/>
    <w:rsid w:val="0072421E"/>
    <w:rsid w:val="00725729"/>
    <w:rsid w:val="00726FA6"/>
    <w:rsid w:val="007302C7"/>
    <w:rsid w:val="0073369C"/>
    <w:rsid w:val="007336EB"/>
    <w:rsid w:val="0073493A"/>
    <w:rsid w:val="00735A8D"/>
    <w:rsid w:val="007363B0"/>
    <w:rsid w:val="00736639"/>
    <w:rsid w:val="00740A54"/>
    <w:rsid w:val="00742134"/>
    <w:rsid w:val="007429B5"/>
    <w:rsid w:val="0074622A"/>
    <w:rsid w:val="00751E09"/>
    <w:rsid w:val="00752702"/>
    <w:rsid w:val="00753ACE"/>
    <w:rsid w:val="007544A7"/>
    <w:rsid w:val="00754C5E"/>
    <w:rsid w:val="00754D75"/>
    <w:rsid w:val="0075561A"/>
    <w:rsid w:val="00756605"/>
    <w:rsid w:val="00760A6E"/>
    <w:rsid w:val="00761632"/>
    <w:rsid w:val="00762C03"/>
    <w:rsid w:val="00762CBA"/>
    <w:rsid w:val="00763D52"/>
    <w:rsid w:val="00767281"/>
    <w:rsid w:val="00770F3C"/>
    <w:rsid w:val="00771CAE"/>
    <w:rsid w:val="0077243F"/>
    <w:rsid w:val="007732AE"/>
    <w:rsid w:val="007740E0"/>
    <w:rsid w:val="0077483A"/>
    <w:rsid w:val="007761BD"/>
    <w:rsid w:val="0077721D"/>
    <w:rsid w:val="007820E9"/>
    <w:rsid w:val="00782E71"/>
    <w:rsid w:val="00783494"/>
    <w:rsid w:val="00791822"/>
    <w:rsid w:val="00791ACA"/>
    <w:rsid w:val="0079218E"/>
    <w:rsid w:val="00793565"/>
    <w:rsid w:val="007942D1"/>
    <w:rsid w:val="007960BD"/>
    <w:rsid w:val="007960F7"/>
    <w:rsid w:val="00797A77"/>
    <w:rsid w:val="00797D6C"/>
    <w:rsid w:val="007A2280"/>
    <w:rsid w:val="007A3463"/>
    <w:rsid w:val="007A354C"/>
    <w:rsid w:val="007A6C22"/>
    <w:rsid w:val="007A6D7C"/>
    <w:rsid w:val="007A6E35"/>
    <w:rsid w:val="007B0355"/>
    <w:rsid w:val="007B0B63"/>
    <w:rsid w:val="007B25FD"/>
    <w:rsid w:val="007B2DCF"/>
    <w:rsid w:val="007B4040"/>
    <w:rsid w:val="007B4EB7"/>
    <w:rsid w:val="007B5E8F"/>
    <w:rsid w:val="007B695F"/>
    <w:rsid w:val="007B7AF0"/>
    <w:rsid w:val="007B7B72"/>
    <w:rsid w:val="007C141A"/>
    <w:rsid w:val="007C2C8C"/>
    <w:rsid w:val="007C2E1A"/>
    <w:rsid w:val="007C4183"/>
    <w:rsid w:val="007C50EF"/>
    <w:rsid w:val="007C56D7"/>
    <w:rsid w:val="007C74E9"/>
    <w:rsid w:val="007D0A53"/>
    <w:rsid w:val="007D182D"/>
    <w:rsid w:val="007D27B3"/>
    <w:rsid w:val="007D33A9"/>
    <w:rsid w:val="007D44FE"/>
    <w:rsid w:val="007D4D83"/>
    <w:rsid w:val="007D5DA3"/>
    <w:rsid w:val="007D6C92"/>
    <w:rsid w:val="007D7684"/>
    <w:rsid w:val="007E3EC6"/>
    <w:rsid w:val="007F0A91"/>
    <w:rsid w:val="007F28D2"/>
    <w:rsid w:val="007F2FC9"/>
    <w:rsid w:val="007F4736"/>
    <w:rsid w:val="008002CE"/>
    <w:rsid w:val="00800BF8"/>
    <w:rsid w:val="00801632"/>
    <w:rsid w:val="00802860"/>
    <w:rsid w:val="008049C5"/>
    <w:rsid w:val="008053BB"/>
    <w:rsid w:val="0080615B"/>
    <w:rsid w:val="008074EC"/>
    <w:rsid w:val="00810DF8"/>
    <w:rsid w:val="00810F46"/>
    <w:rsid w:val="0081264B"/>
    <w:rsid w:val="00814091"/>
    <w:rsid w:val="008140E9"/>
    <w:rsid w:val="00817971"/>
    <w:rsid w:val="008210A9"/>
    <w:rsid w:val="0082240D"/>
    <w:rsid w:val="008235C6"/>
    <w:rsid w:val="00824C3F"/>
    <w:rsid w:val="00825C97"/>
    <w:rsid w:val="00827237"/>
    <w:rsid w:val="00830D3D"/>
    <w:rsid w:val="0083174B"/>
    <w:rsid w:val="00831F5D"/>
    <w:rsid w:val="00831FD9"/>
    <w:rsid w:val="00832A42"/>
    <w:rsid w:val="00832D2E"/>
    <w:rsid w:val="00833158"/>
    <w:rsid w:val="0083566D"/>
    <w:rsid w:val="008363FB"/>
    <w:rsid w:val="00837157"/>
    <w:rsid w:val="00843E3E"/>
    <w:rsid w:val="00846623"/>
    <w:rsid w:val="00854829"/>
    <w:rsid w:val="008577F8"/>
    <w:rsid w:val="00863261"/>
    <w:rsid w:val="0086384E"/>
    <w:rsid w:val="0086631C"/>
    <w:rsid w:val="0086642D"/>
    <w:rsid w:val="00870F30"/>
    <w:rsid w:val="00873B15"/>
    <w:rsid w:val="008740B0"/>
    <w:rsid w:val="00875721"/>
    <w:rsid w:val="00881ED2"/>
    <w:rsid w:val="00883A70"/>
    <w:rsid w:val="00884349"/>
    <w:rsid w:val="00885839"/>
    <w:rsid w:val="00885CF6"/>
    <w:rsid w:val="0088683B"/>
    <w:rsid w:val="0088737B"/>
    <w:rsid w:val="008878DC"/>
    <w:rsid w:val="00887F2D"/>
    <w:rsid w:val="008932C5"/>
    <w:rsid w:val="008944A9"/>
    <w:rsid w:val="00895A02"/>
    <w:rsid w:val="00895C41"/>
    <w:rsid w:val="00896143"/>
    <w:rsid w:val="008963B3"/>
    <w:rsid w:val="00896F40"/>
    <w:rsid w:val="008979EC"/>
    <w:rsid w:val="008A0CEB"/>
    <w:rsid w:val="008A107E"/>
    <w:rsid w:val="008A3547"/>
    <w:rsid w:val="008A41EA"/>
    <w:rsid w:val="008A4658"/>
    <w:rsid w:val="008A4A4A"/>
    <w:rsid w:val="008A7129"/>
    <w:rsid w:val="008B00D5"/>
    <w:rsid w:val="008B1104"/>
    <w:rsid w:val="008B301D"/>
    <w:rsid w:val="008B62D8"/>
    <w:rsid w:val="008C09B4"/>
    <w:rsid w:val="008C0CF7"/>
    <w:rsid w:val="008C612A"/>
    <w:rsid w:val="008C7FA4"/>
    <w:rsid w:val="008D037E"/>
    <w:rsid w:val="008D0E5B"/>
    <w:rsid w:val="008D216F"/>
    <w:rsid w:val="008E0E2E"/>
    <w:rsid w:val="008E27AE"/>
    <w:rsid w:val="008E2F2F"/>
    <w:rsid w:val="008E32C1"/>
    <w:rsid w:val="008E57EA"/>
    <w:rsid w:val="008E5812"/>
    <w:rsid w:val="008E58CA"/>
    <w:rsid w:val="008E6286"/>
    <w:rsid w:val="008F0302"/>
    <w:rsid w:val="008F0EA3"/>
    <w:rsid w:val="008F208C"/>
    <w:rsid w:val="008F2E5F"/>
    <w:rsid w:val="008F3101"/>
    <w:rsid w:val="008F32F1"/>
    <w:rsid w:val="008F3350"/>
    <w:rsid w:val="008F3675"/>
    <w:rsid w:val="008F5985"/>
    <w:rsid w:val="0090267B"/>
    <w:rsid w:val="00903DD5"/>
    <w:rsid w:val="00907548"/>
    <w:rsid w:val="009078A6"/>
    <w:rsid w:val="00911C83"/>
    <w:rsid w:val="009140CC"/>
    <w:rsid w:val="00914959"/>
    <w:rsid w:val="00915B99"/>
    <w:rsid w:val="00915F42"/>
    <w:rsid w:val="00915FE7"/>
    <w:rsid w:val="0092121D"/>
    <w:rsid w:val="009219BB"/>
    <w:rsid w:val="009225BC"/>
    <w:rsid w:val="00922749"/>
    <w:rsid w:val="009238E5"/>
    <w:rsid w:val="009244B2"/>
    <w:rsid w:val="009265B0"/>
    <w:rsid w:val="00926CD8"/>
    <w:rsid w:val="00927200"/>
    <w:rsid w:val="0093064F"/>
    <w:rsid w:val="00930B97"/>
    <w:rsid w:val="00936273"/>
    <w:rsid w:val="00937616"/>
    <w:rsid w:val="00940135"/>
    <w:rsid w:val="009427C0"/>
    <w:rsid w:val="00942FEA"/>
    <w:rsid w:val="0094567F"/>
    <w:rsid w:val="009503B3"/>
    <w:rsid w:val="00951FCA"/>
    <w:rsid w:val="00952DAC"/>
    <w:rsid w:val="00954EA6"/>
    <w:rsid w:val="0095570B"/>
    <w:rsid w:val="00956F9E"/>
    <w:rsid w:val="00957A30"/>
    <w:rsid w:val="00964A91"/>
    <w:rsid w:val="00965836"/>
    <w:rsid w:val="00965D9E"/>
    <w:rsid w:val="00967262"/>
    <w:rsid w:val="00967878"/>
    <w:rsid w:val="009708A1"/>
    <w:rsid w:val="00971805"/>
    <w:rsid w:val="00971B49"/>
    <w:rsid w:val="00972011"/>
    <w:rsid w:val="00974FEF"/>
    <w:rsid w:val="0097532C"/>
    <w:rsid w:val="00975E36"/>
    <w:rsid w:val="0098207E"/>
    <w:rsid w:val="009831B6"/>
    <w:rsid w:val="009841D9"/>
    <w:rsid w:val="009872B8"/>
    <w:rsid w:val="00987F89"/>
    <w:rsid w:val="009914E3"/>
    <w:rsid w:val="00994328"/>
    <w:rsid w:val="00995437"/>
    <w:rsid w:val="00995EDE"/>
    <w:rsid w:val="009974D8"/>
    <w:rsid w:val="009A08E2"/>
    <w:rsid w:val="009A25AA"/>
    <w:rsid w:val="009A6BD1"/>
    <w:rsid w:val="009A6F80"/>
    <w:rsid w:val="009A70E2"/>
    <w:rsid w:val="009B126A"/>
    <w:rsid w:val="009B2930"/>
    <w:rsid w:val="009B342A"/>
    <w:rsid w:val="009C070C"/>
    <w:rsid w:val="009C07E1"/>
    <w:rsid w:val="009C0F7F"/>
    <w:rsid w:val="009C16DA"/>
    <w:rsid w:val="009C32A4"/>
    <w:rsid w:val="009C4A65"/>
    <w:rsid w:val="009C5A74"/>
    <w:rsid w:val="009C6932"/>
    <w:rsid w:val="009D0F1D"/>
    <w:rsid w:val="009D1F85"/>
    <w:rsid w:val="009D2213"/>
    <w:rsid w:val="009D2809"/>
    <w:rsid w:val="009D40A1"/>
    <w:rsid w:val="009D46FA"/>
    <w:rsid w:val="009D4EF2"/>
    <w:rsid w:val="009D4F96"/>
    <w:rsid w:val="009D5175"/>
    <w:rsid w:val="009D5325"/>
    <w:rsid w:val="009D65A1"/>
    <w:rsid w:val="009E2A52"/>
    <w:rsid w:val="009E2C89"/>
    <w:rsid w:val="009E39B0"/>
    <w:rsid w:val="009E68B7"/>
    <w:rsid w:val="009F03F9"/>
    <w:rsid w:val="009F0B91"/>
    <w:rsid w:val="009F0C61"/>
    <w:rsid w:val="009F2297"/>
    <w:rsid w:val="009F3709"/>
    <w:rsid w:val="009F3C69"/>
    <w:rsid w:val="009F7104"/>
    <w:rsid w:val="009F7B51"/>
    <w:rsid w:val="00A00680"/>
    <w:rsid w:val="00A01D59"/>
    <w:rsid w:val="00A02448"/>
    <w:rsid w:val="00A02E39"/>
    <w:rsid w:val="00A03C02"/>
    <w:rsid w:val="00A078B5"/>
    <w:rsid w:val="00A108DA"/>
    <w:rsid w:val="00A12F52"/>
    <w:rsid w:val="00A13203"/>
    <w:rsid w:val="00A13F25"/>
    <w:rsid w:val="00A17575"/>
    <w:rsid w:val="00A179F2"/>
    <w:rsid w:val="00A20B02"/>
    <w:rsid w:val="00A22C21"/>
    <w:rsid w:val="00A23387"/>
    <w:rsid w:val="00A243E0"/>
    <w:rsid w:val="00A267C2"/>
    <w:rsid w:val="00A27B44"/>
    <w:rsid w:val="00A34252"/>
    <w:rsid w:val="00A367C7"/>
    <w:rsid w:val="00A413B1"/>
    <w:rsid w:val="00A42BB6"/>
    <w:rsid w:val="00A43076"/>
    <w:rsid w:val="00A4454E"/>
    <w:rsid w:val="00A455B0"/>
    <w:rsid w:val="00A45DCA"/>
    <w:rsid w:val="00A46148"/>
    <w:rsid w:val="00A462AA"/>
    <w:rsid w:val="00A4780B"/>
    <w:rsid w:val="00A50499"/>
    <w:rsid w:val="00A5097E"/>
    <w:rsid w:val="00A5180A"/>
    <w:rsid w:val="00A51B7E"/>
    <w:rsid w:val="00A535F0"/>
    <w:rsid w:val="00A54865"/>
    <w:rsid w:val="00A54B68"/>
    <w:rsid w:val="00A6465D"/>
    <w:rsid w:val="00A64FA4"/>
    <w:rsid w:val="00A655AA"/>
    <w:rsid w:val="00A65E19"/>
    <w:rsid w:val="00A6628B"/>
    <w:rsid w:val="00A704E2"/>
    <w:rsid w:val="00A717E9"/>
    <w:rsid w:val="00A72081"/>
    <w:rsid w:val="00A7381B"/>
    <w:rsid w:val="00A757EF"/>
    <w:rsid w:val="00A76819"/>
    <w:rsid w:val="00A77CD6"/>
    <w:rsid w:val="00A81845"/>
    <w:rsid w:val="00A82CFE"/>
    <w:rsid w:val="00A82FD8"/>
    <w:rsid w:val="00A8382D"/>
    <w:rsid w:val="00A83DC7"/>
    <w:rsid w:val="00A83DF7"/>
    <w:rsid w:val="00A868E9"/>
    <w:rsid w:val="00A86C15"/>
    <w:rsid w:val="00A90975"/>
    <w:rsid w:val="00A93D1D"/>
    <w:rsid w:val="00A9531B"/>
    <w:rsid w:val="00A959B2"/>
    <w:rsid w:val="00A97EC5"/>
    <w:rsid w:val="00AA2876"/>
    <w:rsid w:val="00AA30E6"/>
    <w:rsid w:val="00AA493C"/>
    <w:rsid w:val="00AB3086"/>
    <w:rsid w:val="00AB353F"/>
    <w:rsid w:val="00AB3543"/>
    <w:rsid w:val="00AB43DD"/>
    <w:rsid w:val="00AB6ACD"/>
    <w:rsid w:val="00AC0431"/>
    <w:rsid w:val="00AC069D"/>
    <w:rsid w:val="00AC127B"/>
    <w:rsid w:val="00AC1CF0"/>
    <w:rsid w:val="00AC2184"/>
    <w:rsid w:val="00AC2EDE"/>
    <w:rsid w:val="00AC40AA"/>
    <w:rsid w:val="00AC485A"/>
    <w:rsid w:val="00AD0292"/>
    <w:rsid w:val="00AD1045"/>
    <w:rsid w:val="00AD3BB2"/>
    <w:rsid w:val="00AD69FD"/>
    <w:rsid w:val="00AD6D85"/>
    <w:rsid w:val="00AD774D"/>
    <w:rsid w:val="00AE1F35"/>
    <w:rsid w:val="00AE3A19"/>
    <w:rsid w:val="00AE4076"/>
    <w:rsid w:val="00AE5BF6"/>
    <w:rsid w:val="00AF0015"/>
    <w:rsid w:val="00AF3294"/>
    <w:rsid w:val="00AF3E10"/>
    <w:rsid w:val="00AF726E"/>
    <w:rsid w:val="00B019AC"/>
    <w:rsid w:val="00B04B95"/>
    <w:rsid w:val="00B067FA"/>
    <w:rsid w:val="00B10E0B"/>
    <w:rsid w:val="00B11464"/>
    <w:rsid w:val="00B12B0C"/>
    <w:rsid w:val="00B13084"/>
    <w:rsid w:val="00B16324"/>
    <w:rsid w:val="00B1637C"/>
    <w:rsid w:val="00B16A10"/>
    <w:rsid w:val="00B20C89"/>
    <w:rsid w:val="00B20FB6"/>
    <w:rsid w:val="00B214D4"/>
    <w:rsid w:val="00B21A33"/>
    <w:rsid w:val="00B277F3"/>
    <w:rsid w:val="00B31AF1"/>
    <w:rsid w:val="00B35006"/>
    <w:rsid w:val="00B3646C"/>
    <w:rsid w:val="00B3749C"/>
    <w:rsid w:val="00B37E95"/>
    <w:rsid w:val="00B41BC4"/>
    <w:rsid w:val="00B4231D"/>
    <w:rsid w:val="00B440E3"/>
    <w:rsid w:val="00B44231"/>
    <w:rsid w:val="00B45DDC"/>
    <w:rsid w:val="00B46F10"/>
    <w:rsid w:val="00B50E6E"/>
    <w:rsid w:val="00B54BC7"/>
    <w:rsid w:val="00B5676F"/>
    <w:rsid w:val="00B5778C"/>
    <w:rsid w:val="00B60B20"/>
    <w:rsid w:val="00B60FE4"/>
    <w:rsid w:val="00B62086"/>
    <w:rsid w:val="00B655B3"/>
    <w:rsid w:val="00B6591C"/>
    <w:rsid w:val="00B669FC"/>
    <w:rsid w:val="00B67353"/>
    <w:rsid w:val="00B67F20"/>
    <w:rsid w:val="00B70627"/>
    <w:rsid w:val="00B715C3"/>
    <w:rsid w:val="00B71D6E"/>
    <w:rsid w:val="00B71E34"/>
    <w:rsid w:val="00B73B4A"/>
    <w:rsid w:val="00B778BA"/>
    <w:rsid w:val="00B8546E"/>
    <w:rsid w:val="00B85D34"/>
    <w:rsid w:val="00B863F4"/>
    <w:rsid w:val="00B8645E"/>
    <w:rsid w:val="00B86C96"/>
    <w:rsid w:val="00B870CD"/>
    <w:rsid w:val="00B8734F"/>
    <w:rsid w:val="00B87837"/>
    <w:rsid w:val="00B87980"/>
    <w:rsid w:val="00B90231"/>
    <w:rsid w:val="00B9119F"/>
    <w:rsid w:val="00B9139E"/>
    <w:rsid w:val="00B913E8"/>
    <w:rsid w:val="00B94BBA"/>
    <w:rsid w:val="00B96A80"/>
    <w:rsid w:val="00B96E56"/>
    <w:rsid w:val="00B97C2E"/>
    <w:rsid w:val="00B97C81"/>
    <w:rsid w:val="00BB1B8F"/>
    <w:rsid w:val="00BB300F"/>
    <w:rsid w:val="00BB528F"/>
    <w:rsid w:val="00BB5E2F"/>
    <w:rsid w:val="00BB74E3"/>
    <w:rsid w:val="00BC00E6"/>
    <w:rsid w:val="00BC0A5B"/>
    <w:rsid w:val="00BC1BCC"/>
    <w:rsid w:val="00BC4827"/>
    <w:rsid w:val="00BC7723"/>
    <w:rsid w:val="00BD00EE"/>
    <w:rsid w:val="00BD72F1"/>
    <w:rsid w:val="00BD7356"/>
    <w:rsid w:val="00BE098E"/>
    <w:rsid w:val="00BE2CD5"/>
    <w:rsid w:val="00BE3AED"/>
    <w:rsid w:val="00BE4C83"/>
    <w:rsid w:val="00BE50D9"/>
    <w:rsid w:val="00BE7874"/>
    <w:rsid w:val="00BF0D25"/>
    <w:rsid w:val="00BF0E40"/>
    <w:rsid w:val="00BF16A4"/>
    <w:rsid w:val="00BF2BB2"/>
    <w:rsid w:val="00BF328A"/>
    <w:rsid w:val="00BF41DF"/>
    <w:rsid w:val="00BF46F8"/>
    <w:rsid w:val="00BF7880"/>
    <w:rsid w:val="00C01276"/>
    <w:rsid w:val="00C012EB"/>
    <w:rsid w:val="00C022DD"/>
    <w:rsid w:val="00C10365"/>
    <w:rsid w:val="00C14FA8"/>
    <w:rsid w:val="00C150E0"/>
    <w:rsid w:val="00C16578"/>
    <w:rsid w:val="00C1669B"/>
    <w:rsid w:val="00C176BC"/>
    <w:rsid w:val="00C17D25"/>
    <w:rsid w:val="00C20515"/>
    <w:rsid w:val="00C221FC"/>
    <w:rsid w:val="00C234E1"/>
    <w:rsid w:val="00C23F13"/>
    <w:rsid w:val="00C24A15"/>
    <w:rsid w:val="00C27773"/>
    <w:rsid w:val="00C27B85"/>
    <w:rsid w:val="00C30CA0"/>
    <w:rsid w:val="00C30E31"/>
    <w:rsid w:val="00C31F0F"/>
    <w:rsid w:val="00C33CE0"/>
    <w:rsid w:val="00C34954"/>
    <w:rsid w:val="00C3532A"/>
    <w:rsid w:val="00C35770"/>
    <w:rsid w:val="00C36A4E"/>
    <w:rsid w:val="00C36B42"/>
    <w:rsid w:val="00C41A00"/>
    <w:rsid w:val="00C41B4F"/>
    <w:rsid w:val="00C442BE"/>
    <w:rsid w:val="00C44567"/>
    <w:rsid w:val="00C45839"/>
    <w:rsid w:val="00C53B44"/>
    <w:rsid w:val="00C549C4"/>
    <w:rsid w:val="00C631C9"/>
    <w:rsid w:val="00C65DB7"/>
    <w:rsid w:val="00C66A73"/>
    <w:rsid w:val="00C673A7"/>
    <w:rsid w:val="00C704EF"/>
    <w:rsid w:val="00C706A0"/>
    <w:rsid w:val="00C72283"/>
    <w:rsid w:val="00C72C9C"/>
    <w:rsid w:val="00C72F3F"/>
    <w:rsid w:val="00C73443"/>
    <w:rsid w:val="00C759E7"/>
    <w:rsid w:val="00C75D15"/>
    <w:rsid w:val="00C75ED9"/>
    <w:rsid w:val="00C802A5"/>
    <w:rsid w:val="00C81D8C"/>
    <w:rsid w:val="00C84121"/>
    <w:rsid w:val="00C90846"/>
    <w:rsid w:val="00C91671"/>
    <w:rsid w:val="00C94B99"/>
    <w:rsid w:val="00C95432"/>
    <w:rsid w:val="00C95B40"/>
    <w:rsid w:val="00C9625D"/>
    <w:rsid w:val="00C9739F"/>
    <w:rsid w:val="00C978A5"/>
    <w:rsid w:val="00CA20D8"/>
    <w:rsid w:val="00CA2E26"/>
    <w:rsid w:val="00CA4957"/>
    <w:rsid w:val="00CA67E8"/>
    <w:rsid w:val="00CA7761"/>
    <w:rsid w:val="00CB4971"/>
    <w:rsid w:val="00CB499A"/>
    <w:rsid w:val="00CB5692"/>
    <w:rsid w:val="00CB5DFA"/>
    <w:rsid w:val="00CC145A"/>
    <w:rsid w:val="00CC14B9"/>
    <w:rsid w:val="00CD063F"/>
    <w:rsid w:val="00CD07EA"/>
    <w:rsid w:val="00CD195B"/>
    <w:rsid w:val="00CD2752"/>
    <w:rsid w:val="00CD36C7"/>
    <w:rsid w:val="00CD5B9A"/>
    <w:rsid w:val="00CD6563"/>
    <w:rsid w:val="00CE14AA"/>
    <w:rsid w:val="00CE186C"/>
    <w:rsid w:val="00CE2D41"/>
    <w:rsid w:val="00CE5FCA"/>
    <w:rsid w:val="00CE61B1"/>
    <w:rsid w:val="00CE65FF"/>
    <w:rsid w:val="00CE6845"/>
    <w:rsid w:val="00CE6ADF"/>
    <w:rsid w:val="00CE6F27"/>
    <w:rsid w:val="00CE7154"/>
    <w:rsid w:val="00CE7982"/>
    <w:rsid w:val="00CF0BA3"/>
    <w:rsid w:val="00CF179D"/>
    <w:rsid w:val="00CF32D3"/>
    <w:rsid w:val="00CF50B3"/>
    <w:rsid w:val="00D00A8B"/>
    <w:rsid w:val="00D020DF"/>
    <w:rsid w:val="00D03041"/>
    <w:rsid w:val="00D04052"/>
    <w:rsid w:val="00D06924"/>
    <w:rsid w:val="00D07058"/>
    <w:rsid w:val="00D072BE"/>
    <w:rsid w:val="00D104C6"/>
    <w:rsid w:val="00D11874"/>
    <w:rsid w:val="00D12F94"/>
    <w:rsid w:val="00D13217"/>
    <w:rsid w:val="00D13C71"/>
    <w:rsid w:val="00D150D0"/>
    <w:rsid w:val="00D17200"/>
    <w:rsid w:val="00D20213"/>
    <w:rsid w:val="00D21C16"/>
    <w:rsid w:val="00D2233E"/>
    <w:rsid w:val="00D26443"/>
    <w:rsid w:val="00D26926"/>
    <w:rsid w:val="00D33E27"/>
    <w:rsid w:val="00D35EBA"/>
    <w:rsid w:val="00D4118B"/>
    <w:rsid w:val="00D411DA"/>
    <w:rsid w:val="00D41352"/>
    <w:rsid w:val="00D413F6"/>
    <w:rsid w:val="00D42BCB"/>
    <w:rsid w:val="00D42D7F"/>
    <w:rsid w:val="00D42EB5"/>
    <w:rsid w:val="00D451BA"/>
    <w:rsid w:val="00D455AC"/>
    <w:rsid w:val="00D4709A"/>
    <w:rsid w:val="00D47FB9"/>
    <w:rsid w:val="00D502BB"/>
    <w:rsid w:val="00D530D7"/>
    <w:rsid w:val="00D53968"/>
    <w:rsid w:val="00D54674"/>
    <w:rsid w:val="00D559E1"/>
    <w:rsid w:val="00D56D81"/>
    <w:rsid w:val="00D57B9D"/>
    <w:rsid w:val="00D6197D"/>
    <w:rsid w:val="00D62960"/>
    <w:rsid w:val="00D629B0"/>
    <w:rsid w:val="00D63B39"/>
    <w:rsid w:val="00D652D8"/>
    <w:rsid w:val="00D65BE7"/>
    <w:rsid w:val="00D67402"/>
    <w:rsid w:val="00D72BA9"/>
    <w:rsid w:val="00D753F0"/>
    <w:rsid w:val="00D766FA"/>
    <w:rsid w:val="00D76F2D"/>
    <w:rsid w:val="00D8101E"/>
    <w:rsid w:val="00D813DA"/>
    <w:rsid w:val="00D813F8"/>
    <w:rsid w:val="00D846FB"/>
    <w:rsid w:val="00D86FB2"/>
    <w:rsid w:val="00D90DC8"/>
    <w:rsid w:val="00D92F37"/>
    <w:rsid w:val="00D93001"/>
    <w:rsid w:val="00D93236"/>
    <w:rsid w:val="00D94B6D"/>
    <w:rsid w:val="00DA1FB3"/>
    <w:rsid w:val="00DA3BE7"/>
    <w:rsid w:val="00DA3D4E"/>
    <w:rsid w:val="00DA75C4"/>
    <w:rsid w:val="00DB1D3E"/>
    <w:rsid w:val="00DB297E"/>
    <w:rsid w:val="00DB3B55"/>
    <w:rsid w:val="00DB44D1"/>
    <w:rsid w:val="00DB5C64"/>
    <w:rsid w:val="00DB73EB"/>
    <w:rsid w:val="00DB7A9C"/>
    <w:rsid w:val="00DB7EF7"/>
    <w:rsid w:val="00DC06C0"/>
    <w:rsid w:val="00DC707D"/>
    <w:rsid w:val="00DD0039"/>
    <w:rsid w:val="00DD09EB"/>
    <w:rsid w:val="00DD0BBB"/>
    <w:rsid w:val="00DD17AD"/>
    <w:rsid w:val="00DD36B4"/>
    <w:rsid w:val="00DD4F1B"/>
    <w:rsid w:val="00DE0228"/>
    <w:rsid w:val="00DE3799"/>
    <w:rsid w:val="00DE6115"/>
    <w:rsid w:val="00DE6307"/>
    <w:rsid w:val="00DF1C8D"/>
    <w:rsid w:val="00DF3459"/>
    <w:rsid w:val="00DF5843"/>
    <w:rsid w:val="00E015AC"/>
    <w:rsid w:val="00E02F2D"/>
    <w:rsid w:val="00E03F8E"/>
    <w:rsid w:val="00E054A5"/>
    <w:rsid w:val="00E061FE"/>
    <w:rsid w:val="00E06773"/>
    <w:rsid w:val="00E1059C"/>
    <w:rsid w:val="00E105FF"/>
    <w:rsid w:val="00E107BE"/>
    <w:rsid w:val="00E11377"/>
    <w:rsid w:val="00E11BD5"/>
    <w:rsid w:val="00E135AE"/>
    <w:rsid w:val="00E13C13"/>
    <w:rsid w:val="00E14057"/>
    <w:rsid w:val="00E15331"/>
    <w:rsid w:val="00E2084A"/>
    <w:rsid w:val="00E22060"/>
    <w:rsid w:val="00E24F11"/>
    <w:rsid w:val="00E265A1"/>
    <w:rsid w:val="00E27E79"/>
    <w:rsid w:val="00E27FC1"/>
    <w:rsid w:val="00E30BC3"/>
    <w:rsid w:val="00E30CEF"/>
    <w:rsid w:val="00E3128D"/>
    <w:rsid w:val="00E313D2"/>
    <w:rsid w:val="00E3333F"/>
    <w:rsid w:val="00E34170"/>
    <w:rsid w:val="00E364A0"/>
    <w:rsid w:val="00E41CC5"/>
    <w:rsid w:val="00E427A3"/>
    <w:rsid w:val="00E42BFA"/>
    <w:rsid w:val="00E4342A"/>
    <w:rsid w:val="00E47EFE"/>
    <w:rsid w:val="00E52A31"/>
    <w:rsid w:val="00E53819"/>
    <w:rsid w:val="00E5496D"/>
    <w:rsid w:val="00E54E8F"/>
    <w:rsid w:val="00E572E6"/>
    <w:rsid w:val="00E573D3"/>
    <w:rsid w:val="00E63280"/>
    <w:rsid w:val="00E632ED"/>
    <w:rsid w:val="00E6517A"/>
    <w:rsid w:val="00E668F6"/>
    <w:rsid w:val="00E73AF8"/>
    <w:rsid w:val="00E73FE9"/>
    <w:rsid w:val="00E759E2"/>
    <w:rsid w:val="00E77B6D"/>
    <w:rsid w:val="00E77E90"/>
    <w:rsid w:val="00E8199A"/>
    <w:rsid w:val="00E830CA"/>
    <w:rsid w:val="00E83B4C"/>
    <w:rsid w:val="00E86008"/>
    <w:rsid w:val="00E861EF"/>
    <w:rsid w:val="00E8639F"/>
    <w:rsid w:val="00E8675D"/>
    <w:rsid w:val="00E86765"/>
    <w:rsid w:val="00E90166"/>
    <w:rsid w:val="00E90B6B"/>
    <w:rsid w:val="00E92EA3"/>
    <w:rsid w:val="00E93D7A"/>
    <w:rsid w:val="00E949D7"/>
    <w:rsid w:val="00E94A0A"/>
    <w:rsid w:val="00E94FA3"/>
    <w:rsid w:val="00E97509"/>
    <w:rsid w:val="00EA14E6"/>
    <w:rsid w:val="00EA14F3"/>
    <w:rsid w:val="00EA16B2"/>
    <w:rsid w:val="00EA2985"/>
    <w:rsid w:val="00EA394A"/>
    <w:rsid w:val="00EA46A7"/>
    <w:rsid w:val="00EA4CD0"/>
    <w:rsid w:val="00EA4D47"/>
    <w:rsid w:val="00EA739F"/>
    <w:rsid w:val="00EB3E05"/>
    <w:rsid w:val="00EB76FA"/>
    <w:rsid w:val="00EB7A64"/>
    <w:rsid w:val="00EC1A34"/>
    <w:rsid w:val="00EC1D94"/>
    <w:rsid w:val="00EC239D"/>
    <w:rsid w:val="00EC2A5D"/>
    <w:rsid w:val="00EC3522"/>
    <w:rsid w:val="00EC415B"/>
    <w:rsid w:val="00EC45C1"/>
    <w:rsid w:val="00EC5EA6"/>
    <w:rsid w:val="00EC6495"/>
    <w:rsid w:val="00ED1786"/>
    <w:rsid w:val="00ED1E7E"/>
    <w:rsid w:val="00ED20E2"/>
    <w:rsid w:val="00ED4520"/>
    <w:rsid w:val="00ED529C"/>
    <w:rsid w:val="00ED5718"/>
    <w:rsid w:val="00ED72EB"/>
    <w:rsid w:val="00ED7548"/>
    <w:rsid w:val="00EE0356"/>
    <w:rsid w:val="00EE3AD6"/>
    <w:rsid w:val="00EE6A1B"/>
    <w:rsid w:val="00EE75B0"/>
    <w:rsid w:val="00EF2C66"/>
    <w:rsid w:val="00EF43B0"/>
    <w:rsid w:val="00EF4D46"/>
    <w:rsid w:val="00F00D6A"/>
    <w:rsid w:val="00F02300"/>
    <w:rsid w:val="00F03BAB"/>
    <w:rsid w:val="00F058E8"/>
    <w:rsid w:val="00F07B54"/>
    <w:rsid w:val="00F1423B"/>
    <w:rsid w:val="00F16C84"/>
    <w:rsid w:val="00F21C5C"/>
    <w:rsid w:val="00F21FD7"/>
    <w:rsid w:val="00F232DC"/>
    <w:rsid w:val="00F23D9C"/>
    <w:rsid w:val="00F30335"/>
    <w:rsid w:val="00F316CE"/>
    <w:rsid w:val="00F3539C"/>
    <w:rsid w:val="00F3574D"/>
    <w:rsid w:val="00F363F2"/>
    <w:rsid w:val="00F40832"/>
    <w:rsid w:val="00F44306"/>
    <w:rsid w:val="00F450C4"/>
    <w:rsid w:val="00F45404"/>
    <w:rsid w:val="00F4713D"/>
    <w:rsid w:val="00F505E1"/>
    <w:rsid w:val="00F511F5"/>
    <w:rsid w:val="00F53D71"/>
    <w:rsid w:val="00F546EE"/>
    <w:rsid w:val="00F56D50"/>
    <w:rsid w:val="00F610FE"/>
    <w:rsid w:val="00F61366"/>
    <w:rsid w:val="00F618C3"/>
    <w:rsid w:val="00F6440A"/>
    <w:rsid w:val="00F675AA"/>
    <w:rsid w:val="00F7254D"/>
    <w:rsid w:val="00F725D5"/>
    <w:rsid w:val="00F73093"/>
    <w:rsid w:val="00F77291"/>
    <w:rsid w:val="00F80D1D"/>
    <w:rsid w:val="00F81A3E"/>
    <w:rsid w:val="00F81C93"/>
    <w:rsid w:val="00F82C62"/>
    <w:rsid w:val="00F83A83"/>
    <w:rsid w:val="00F84B0A"/>
    <w:rsid w:val="00F85F34"/>
    <w:rsid w:val="00F86621"/>
    <w:rsid w:val="00F903AD"/>
    <w:rsid w:val="00F91619"/>
    <w:rsid w:val="00F918AE"/>
    <w:rsid w:val="00F91D42"/>
    <w:rsid w:val="00F93405"/>
    <w:rsid w:val="00F939EE"/>
    <w:rsid w:val="00F93B1E"/>
    <w:rsid w:val="00F9420A"/>
    <w:rsid w:val="00F94809"/>
    <w:rsid w:val="00FA0879"/>
    <w:rsid w:val="00FA09D8"/>
    <w:rsid w:val="00FA2A68"/>
    <w:rsid w:val="00FA3003"/>
    <w:rsid w:val="00FA71C3"/>
    <w:rsid w:val="00FB09BD"/>
    <w:rsid w:val="00FB09DB"/>
    <w:rsid w:val="00FB170A"/>
    <w:rsid w:val="00FB5206"/>
    <w:rsid w:val="00FB5457"/>
    <w:rsid w:val="00FB60F9"/>
    <w:rsid w:val="00FC297D"/>
    <w:rsid w:val="00FC3090"/>
    <w:rsid w:val="00FC569B"/>
    <w:rsid w:val="00FC65B3"/>
    <w:rsid w:val="00FC6A7F"/>
    <w:rsid w:val="00FC6AB0"/>
    <w:rsid w:val="00FC6F34"/>
    <w:rsid w:val="00FD05BB"/>
    <w:rsid w:val="00FD20A3"/>
    <w:rsid w:val="00FD5964"/>
    <w:rsid w:val="00FD6AAE"/>
    <w:rsid w:val="00FE0C0F"/>
    <w:rsid w:val="00FE1C25"/>
    <w:rsid w:val="00FE26B9"/>
    <w:rsid w:val="00FE787A"/>
    <w:rsid w:val="00FE7B43"/>
    <w:rsid w:val="00FF5A14"/>
    <w:rsid w:val="00FF760D"/>
    <w:rsid w:val="00FF7B55"/>
    <w:rsid w:val="00FF7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B2452"/>
  <w15:chartTrackingRefBased/>
  <w15:docId w15:val="{E5DA7C9A-BC8A-48AD-951E-DC0B8900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85"/>
    <w:pPr>
      <w:spacing w:before="60" w:after="120" w:line="288" w:lineRule="auto"/>
    </w:pPr>
    <w:rPr>
      <w:rFonts w:ascii="Arial" w:hAnsi="Arial"/>
      <w:sz w:val="24"/>
      <w:lang w:val="fr-FR"/>
    </w:rPr>
  </w:style>
  <w:style w:type="paragraph" w:styleId="Heading1">
    <w:name w:val="heading 1"/>
    <w:next w:val="Normal"/>
    <w:link w:val="Heading1Char"/>
    <w:uiPriority w:val="9"/>
    <w:qFormat/>
    <w:rsid w:val="008F3101"/>
    <w:pPr>
      <w:keepNext/>
      <w:keepLines/>
      <w:numPr>
        <w:numId w:val="4"/>
      </w:numPr>
      <w:pBdr>
        <w:bottom w:val="single" w:sz="8" w:space="1" w:color="86AF49"/>
      </w:pBdr>
      <w:spacing w:before="400" w:after="40" w:line="288" w:lineRule="auto"/>
      <w:outlineLvl w:val="0"/>
    </w:pPr>
    <w:rPr>
      <w:rFonts w:ascii="Arial" w:eastAsiaTheme="majorEastAsia" w:hAnsi="Arial" w:cstheme="majorBidi"/>
      <w:b/>
      <w:caps/>
      <w:color w:val="404040" w:themeColor="text1" w:themeTint="BF"/>
      <w:sz w:val="36"/>
      <w:szCs w:val="36"/>
      <w:lang w:val="fr-FR"/>
    </w:rPr>
  </w:style>
  <w:style w:type="paragraph" w:styleId="Heading2">
    <w:name w:val="heading 2"/>
    <w:next w:val="Normal"/>
    <w:link w:val="Heading2Char"/>
    <w:uiPriority w:val="9"/>
    <w:unhideWhenUsed/>
    <w:qFormat/>
    <w:rsid w:val="00BC0A5B"/>
    <w:pPr>
      <w:keepNext/>
      <w:keepLines/>
      <w:numPr>
        <w:ilvl w:val="1"/>
        <w:numId w:val="4"/>
      </w:numPr>
      <w:spacing w:before="240" w:after="120" w:line="288" w:lineRule="auto"/>
      <w:outlineLvl w:val="1"/>
    </w:pPr>
    <w:rPr>
      <w:rFonts w:ascii="Arial" w:eastAsiaTheme="majorEastAsia" w:hAnsi="Arial" w:cstheme="majorBidi"/>
      <w:b/>
      <w:smallCaps/>
      <w:color w:val="404040" w:themeColor="text1" w:themeTint="BF"/>
      <w:sz w:val="32"/>
      <w:szCs w:val="28"/>
      <w:lang w:val="fr-FR"/>
    </w:rPr>
  </w:style>
  <w:style w:type="paragraph" w:styleId="Heading3">
    <w:name w:val="heading 3"/>
    <w:next w:val="Normal"/>
    <w:link w:val="Heading3Char"/>
    <w:uiPriority w:val="9"/>
    <w:unhideWhenUsed/>
    <w:qFormat/>
    <w:rsid w:val="00987F89"/>
    <w:pPr>
      <w:keepNext/>
      <w:keepLines/>
      <w:spacing w:before="120" w:after="0" w:line="240" w:lineRule="auto"/>
      <w:outlineLvl w:val="2"/>
    </w:pPr>
    <w:rPr>
      <w:rFonts w:ascii="Arial" w:eastAsiaTheme="majorEastAsia" w:hAnsi="Arial" w:cstheme="majorBidi"/>
      <w:b/>
      <w:sz w:val="28"/>
      <w:szCs w:val="28"/>
      <w:lang w:val="fr-FR"/>
    </w:rPr>
  </w:style>
  <w:style w:type="paragraph" w:styleId="Heading4">
    <w:name w:val="heading 4"/>
    <w:next w:val="Normal"/>
    <w:link w:val="Heading4Char"/>
    <w:uiPriority w:val="9"/>
    <w:unhideWhenUsed/>
    <w:qFormat/>
    <w:rsid w:val="00AD1045"/>
    <w:pPr>
      <w:keepNext/>
      <w:keepLines/>
      <w:spacing w:before="120" w:after="120" w:line="288" w:lineRule="auto"/>
      <w:outlineLvl w:val="3"/>
    </w:pPr>
    <w:rPr>
      <w:rFonts w:ascii="Arial" w:eastAsiaTheme="majorEastAsia" w:hAnsi="Arial" w:cstheme="majorBidi"/>
      <w:b/>
      <w:sz w:val="24"/>
      <w:lang w:val="fr-FR"/>
    </w:rPr>
  </w:style>
  <w:style w:type="paragraph" w:styleId="Heading5">
    <w:name w:val="heading 5"/>
    <w:basedOn w:val="Normal"/>
    <w:next w:val="Normal"/>
    <w:link w:val="Heading5Char"/>
    <w:uiPriority w:val="9"/>
    <w:semiHidden/>
    <w:unhideWhenUsed/>
    <w:qFormat/>
    <w:rsid w:val="001F71A8"/>
    <w:pPr>
      <w:keepNext/>
      <w:keepLines/>
      <w:numPr>
        <w:ilvl w:val="4"/>
        <w:numId w:val="4"/>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F71A8"/>
    <w:pPr>
      <w:keepNext/>
      <w:keepLines/>
      <w:numPr>
        <w:ilvl w:val="5"/>
        <w:numId w:val="4"/>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F71A8"/>
    <w:pPr>
      <w:keepNext/>
      <w:keepLines/>
      <w:numPr>
        <w:ilvl w:val="6"/>
        <w:numId w:val="4"/>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F71A8"/>
    <w:pPr>
      <w:keepNext/>
      <w:keepLines/>
      <w:numPr>
        <w:ilvl w:val="7"/>
        <w:numId w:val="4"/>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F71A8"/>
    <w:pPr>
      <w:keepNext/>
      <w:keepLines/>
      <w:numPr>
        <w:ilvl w:val="8"/>
        <w:numId w:val="4"/>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1A8"/>
    <w:rPr>
      <w:b/>
      <w:bCs/>
    </w:rPr>
  </w:style>
  <w:style w:type="character" w:styleId="Emphasis">
    <w:name w:val="Emphasis"/>
    <w:basedOn w:val="DefaultParagraphFont"/>
    <w:uiPriority w:val="20"/>
    <w:qFormat/>
    <w:rsid w:val="001F71A8"/>
    <w:rPr>
      <w:i/>
      <w:iCs/>
    </w:rPr>
  </w:style>
  <w:style w:type="paragraph" w:styleId="Title">
    <w:name w:val="Title"/>
    <w:next w:val="Normal"/>
    <w:link w:val="TitleChar"/>
    <w:uiPriority w:val="10"/>
    <w:qFormat/>
    <w:rsid w:val="00292DE4"/>
    <w:pPr>
      <w:pBdr>
        <w:top w:val="single" w:sz="18" w:space="6" w:color="86AF49"/>
        <w:left w:val="single" w:sz="18" w:space="4" w:color="86AF49"/>
        <w:bottom w:val="single" w:sz="18" w:space="1" w:color="86AF49"/>
        <w:right w:val="single" w:sz="18" w:space="4" w:color="86AF49"/>
      </w:pBdr>
      <w:spacing w:before="2880" w:after="3360" w:line="360" w:lineRule="auto"/>
      <w:contextualSpacing/>
      <w:jc w:val="center"/>
    </w:pPr>
    <w:rPr>
      <w:rFonts w:ascii="Arial" w:eastAsiaTheme="majorEastAsia" w:hAnsi="Arial" w:cstheme="majorBidi"/>
      <w:b/>
      <w:caps/>
      <w:color w:val="5F7278"/>
      <w:spacing w:val="-10"/>
      <w:sz w:val="48"/>
      <w:szCs w:val="48"/>
      <w:lang w:val="fr-CA"/>
    </w:rPr>
  </w:style>
  <w:style w:type="character" w:customStyle="1" w:styleId="TitleChar">
    <w:name w:val="Title Char"/>
    <w:basedOn w:val="DefaultParagraphFont"/>
    <w:link w:val="Title"/>
    <w:uiPriority w:val="10"/>
    <w:rsid w:val="00292DE4"/>
    <w:rPr>
      <w:rFonts w:ascii="Arial" w:eastAsiaTheme="majorEastAsia" w:hAnsi="Arial" w:cstheme="majorBidi"/>
      <w:b/>
      <w:caps/>
      <w:color w:val="5F7278"/>
      <w:spacing w:val="-10"/>
      <w:sz w:val="48"/>
      <w:szCs w:val="48"/>
      <w:lang w:val="fr-CA"/>
    </w:rPr>
  </w:style>
  <w:style w:type="paragraph" w:styleId="Subtitle">
    <w:name w:val="Subtitle"/>
    <w:next w:val="Normal"/>
    <w:link w:val="SubtitleChar"/>
    <w:uiPriority w:val="11"/>
    <w:qFormat/>
    <w:rsid w:val="00885839"/>
    <w:pPr>
      <w:numPr>
        <w:ilvl w:val="1"/>
      </w:numPr>
      <w:spacing w:before="480" w:after="960" w:line="288" w:lineRule="auto"/>
      <w:jc w:val="center"/>
    </w:pPr>
    <w:rPr>
      <w:rFonts w:ascii="Arial" w:eastAsiaTheme="majorEastAsia" w:hAnsi="Arial" w:cstheme="majorBidi"/>
      <w:b/>
      <w:color w:val="595959" w:themeColor="text1" w:themeTint="A6"/>
      <w:sz w:val="28"/>
      <w:szCs w:val="28"/>
      <w:lang w:val="fr-CA"/>
    </w:rPr>
  </w:style>
  <w:style w:type="character" w:customStyle="1" w:styleId="SubtitleChar">
    <w:name w:val="Subtitle Char"/>
    <w:basedOn w:val="DefaultParagraphFont"/>
    <w:link w:val="Subtitle"/>
    <w:uiPriority w:val="11"/>
    <w:rsid w:val="00885839"/>
    <w:rPr>
      <w:rFonts w:ascii="Arial" w:eastAsiaTheme="majorEastAsia" w:hAnsi="Arial" w:cstheme="majorBidi"/>
      <w:b/>
      <w:color w:val="595959" w:themeColor="text1" w:themeTint="A6"/>
      <w:sz w:val="28"/>
      <w:szCs w:val="28"/>
      <w:lang w:val="fr-CA"/>
    </w:rPr>
  </w:style>
  <w:style w:type="character" w:customStyle="1" w:styleId="Heading1Char">
    <w:name w:val="Heading 1 Char"/>
    <w:basedOn w:val="DefaultParagraphFont"/>
    <w:link w:val="Heading1"/>
    <w:uiPriority w:val="9"/>
    <w:rsid w:val="008F3101"/>
    <w:rPr>
      <w:rFonts w:ascii="Arial" w:eastAsiaTheme="majorEastAsia" w:hAnsi="Arial" w:cstheme="majorBidi"/>
      <w:b/>
      <w:caps/>
      <w:color w:val="404040" w:themeColor="text1" w:themeTint="BF"/>
      <w:sz w:val="36"/>
      <w:szCs w:val="36"/>
      <w:lang w:val="fr-FR"/>
    </w:rPr>
  </w:style>
  <w:style w:type="paragraph" w:styleId="Header">
    <w:name w:val="header"/>
    <w:basedOn w:val="Normal"/>
    <w:link w:val="HeaderChar"/>
    <w:uiPriority w:val="99"/>
    <w:rsid w:val="006144F9"/>
    <w:pPr>
      <w:tabs>
        <w:tab w:val="center" w:pos="4680"/>
        <w:tab w:val="right" w:pos="9360"/>
      </w:tabs>
      <w:spacing w:after="0" w:line="240" w:lineRule="auto"/>
      <w:jc w:val="center"/>
    </w:pPr>
    <w:rPr>
      <w:color w:val="595959" w:themeColor="text1" w:themeTint="A6"/>
      <w:sz w:val="20"/>
    </w:rPr>
  </w:style>
  <w:style w:type="character" w:customStyle="1" w:styleId="HeaderChar">
    <w:name w:val="Header Char"/>
    <w:basedOn w:val="DefaultParagraphFont"/>
    <w:link w:val="Header"/>
    <w:uiPriority w:val="99"/>
    <w:rsid w:val="006144F9"/>
    <w:rPr>
      <w:rFonts w:ascii="Verdana" w:hAnsi="Verdana"/>
      <w:color w:val="595959" w:themeColor="text1" w:themeTint="A6"/>
      <w:sz w:val="20"/>
      <w:lang w:val="fr-FR"/>
    </w:rPr>
  </w:style>
  <w:style w:type="character" w:customStyle="1" w:styleId="Heading2Char">
    <w:name w:val="Heading 2 Char"/>
    <w:basedOn w:val="DefaultParagraphFont"/>
    <w:link w:val="Heading2"/>
    <w:uiPriority w:val="9"/>
    <w:rsid w:val="00BC0A5B"/>
    <w:rPr>
      <w:rFonts w:ascii="Arial" w:eastAsiaTheme="majorEastAsia" w:hAnsi="Arial" w:cstheme="majorBidi"/>
      <w:b/>
      <w:smallCaps/>
      <w:color w:val="404040" w:themeColor="text1" w:themeTint="BF"/>
      <w:sz w:val="32"/>
      <w:szCs w:val="28"/>
      <w:lang w:val="fr-FR"/>
    </w:rPr>
  </w:style>
  <w:style w:type="paragraph" w:styleId="Footer">
    <w:name w:val="footer"/>
    <w:basedOn w:val="Normal"/>
    <w:link w:val="FooterChar"/>
    <w:uiPriority w:val="99"/>
    <w:rsid w:val="006144F9"/>
    <w:pPr>
      <w:tabs>
        <w:tab w:val="center" w:pos="4680"/>
        <w:tab w:val="right" w:pos="9360"/>
      </w:tabs>
      <w:spacing w:after="0" w:line="240" w:lineRule="auto"/>
    </w:pPr>
    <w:rPr>
      <w:color w:val="595959" w:themeColor="text1" w:themeTint="A6"/>
      <w:sz w:val="20"/>
    </w:rPr>
  </w:style>
  <w:style w:type="character" w:customStyle="1" w:styleId="FooterChar">
    <w:name w:val="Footer Char"/>
    <w:basedOn w:val="DefaultParagraphFont"/>
    <w:link w:val="Footer"/>
    <w:uiPriority w:val="99"/>
    <w:rsid w:val="006144F9"/>
    <w:rPr>
      <w:color w:val="595959" w:themeColor="text1" w:themeTint="A6"/>
      <w:sz w:val="20"/>
    </w:rPr>
  </w:style>
  <w:style w:type="character" w:customStyle="1" w:styleId="Heading3Char">
    <w:name w:val="Heading 3 Char"/>
    <w:basedOn w:val="DefaultParagraphFont"/>
    <w:link w:val="Heading3"/>
    <w:uiPriority w:val="9"/>
    <w:rsid w:val="00987F89"/>
    <w:rPr>
      <w:rFonts w:ascii="Arial" w:eastAsiaTheme="majorEastAsia" w:hAnsi="Arial" w:cstheme="majorBidi"/>
      <w:b/>
      <w:sz w:val="28"/>
      <w:szCs w:val="28"/>
      <w:lang w:val="fr-FR"/>
    </w:rPr>
  </w:style>
  <w:style w:type="character" w:customStyle="1" w:styleId="Heading4Char">
    <w:name w:val="Heading 4 Char"/>
    <w:basedOn w:val="DefaultParagraphFont"/>
    <w:link w:val="Heading4"/>
    <w:uiPriority w:val="9"/>
    <w:rsid w:val="00AD1045"/>
    <w:rPr>
      <w:rFonts w:ascii="Arial" w:eastAsiaTheme="majorEastAsia" w:hAnsi="Arial" w:cstheme="majorBidi"/>
      <w:b/>
      <w:sz w:val="24"/>
      <w:lang w:val="fr-FR"/>
    </w:rPr>
  </w:style>
  <w:style w:type="character" w:customStyle="1" w:styleId="Heading5Char">
    <w:name w:val="Heading 5 Char"/>
    <w:basedOn w:val="DefaultParagraphFont"/>
    <w:link w:val="Heading5"/>
    <w:uiPriority w:val="9"/>
    <w:semiHidden/>
    <w:rsid w:val="001F71A8"/>
    <w:rPr>
      <w:rFonts w:asciiTheme="majorHAnsi" w:eastAsiaTheme="majorEastAsia" w:hAnsiTheme="majorHAnsi" w:cstheme="majorBidi"/>
      <w:i/>
      <w:iCs/>
      <w:caps/>
      <w:sz w:val="24"/>
      <w:lang w:val="fr-FR"/>
    </w:rPr>
  </w:style>
  <w:style w:type="character" w:customStyle="1" w:styleId="Heading6Char">
    <w:name w:val="Heading 6 Char"/>
    <w:basedOn w:val="DefaultParagraphFont"/>
    <w:link w:val="Heading6"/>
    <w:uiPriority w:val="9"/>
    <w:semiHidden/>
    <w:rsid w:val="001F71A8"/>
    <w:rPr>
      <w:rFonts w:asciiTheme="majorHAnsi" w:eastAsiaTheme="majorEastAsia" w:hAnsiTheme="majorHAnsi" w:cstheme="majorBidi"/>
      <w:b/>
      <w:bCs/>
      <w:caps/>
      <w:color w:val="262626" w:themeColor="text1" w:themeTint="D9"/>
      <w:sz w:val="20"/>
      <w:szCs w:val="20"/>
      <w:lang w:val="fr-FR"/>
    </w:rPr>
  </w:style>
  <w:style w:type="character" w:customStyle="1" w:styleId="Heading7Char">
    <w:name w:val="Heading 7 Char"/>
    <w:basedOn w:val="DefaultParagraphFont"/>
    <w:link w:val="Heading7"/>
    <w:uiPriority w:val="9"/>
    <w:semiHidden/>
    <w:rsid w:val="001F71A8"/>
    <w:rPr>
      <w:rFonts w:asciiTheme="majorHAnsi" w:eastAsiaTheme="majorEastAsia" w:hAnsiTheme="majorHAnsi" w:cstheme="majorBidi"/>
      <w:b/>
      <w:bCs/>
      <w:i/>
      <w:iCs/>
      <w:caps/>
      <w:color w:val="262626" w:themeColor="text1" w:themeTint="D9"/>
      <w:sz w:val="20"/>
      <w:szCs w:val="20"/>
      <w:lang w:val="fr-FR"/>
    </w:rPr>
  </w:style>
  <w:style w:type="character" w:customStyle="1" w:styleId="Heading8Char">
    <w:name w:val="Heading 8 Char"/>
    <w:basedOn w:val="DefaultParagraphFont"/>
    <w:link w:val="Heading8"/>
    <w:uiPriority w:val="9"/>
    <w:semiHidden/>
    <w:rsid w:val="001F71A8"/>
    <w:rPr>
      <w:rFonts w:asciiTheme="majorHAnsi" w:eastAsiaTheme="majorEastAsia" w:hAnsiTheme="majorHAnsi" w:cstheme="majorBidi"/>
      <w:b/>
      <w:bCs/>
      <w:caps/>
      <w:color w:val="7F7F7F" w:themeColor="text1" w:themeTint="80"/>
      <w:sz w:val="20"/>
      <w:szCs w:val="20"/>
      <w:lang w:val="fr-FR"/>
    </w:rPr>
  </w:style>
  <w:style w:type="character" w:customStyle="1" w:styleId="Heading9Char">
    <w:name w:val="Heading 9 Char"/>
    <w:basedOn w:val="DefaultParagraphFont"/>
    <w:link w:val="Heading9"/>
    <w:uiPriority w:val="9"/>
    <w:semiHidden/>
    <w:rsid w:val="001F71A8"/>
    <w:rPr>
      <w:rFonts w:asciiTheme="majorHAnsi" w:eastAsiaTheme="majorEastAsia" w:hAnsiTheme="majorHAnsi" w:cstheme="majorBidi"/>
      <w:b/>
      <w:bCs/>
      <w:i/>
      <w:iCs/>
      <w:caps/>
      <w:color w:val="7F7F7F" w:themeColor="text1" w:themeTint="80"/>
      <w:sz w:val="20"/>
      <w:szCs w:val="20"/>
      <w:lang w:val="fr-FR"/>
    </w:rPr>
  </w:style>
  <w:style w:type="paragraph" w:styleId="Caption">
    <w:name w:val="caption"/>
    <w:basedOn w:val="Normal"/>
    <w:next w:val="Normal"/>
    <w:uiPriority w:val="35"/>
    <w:semiHidden/>
    <w:unhideWhenUsed/>
    <w:qFormat/>
    <w:rsid w:val="001F71A8"/>
    <w:pPr>
      <w:spacing w:line="240" w:lineRule="auto"/>
    </w:pPr>
    <w:rPr>
      <w:b/>
      <w:bCs/>
      <w:smallCaps/>
      <w:color w:val="595959" w:themeColor="text1" w:themeTint="A6"/>
    </w:rPr>
  </w:style>
  <w:style w:type="paragraph" w:styleId="NoSpacing">
    <w:name w:val="No Spacing"/>
    <w:uiPriority w:val="1"/>
    <w:qFormat/>
    <w:rsid w:val="001F71A8"/>
    <w:pPr>
      <w:spacing w:after="0" w:line="240" w:lineRule="auto"/>
    </w:pPr>
  </w:style>
  <w:style w:type="paragraph" w:styleId="Quote">
    <w:name w:val="Quote"/>
    <w:basedOn w:val="Normal"/>
    <w:next w:val="Normal"/>
    <w:link w:val="QuoteChar"/>
    <w:uiPriority w:val="29"/>
    <w:qFormat/>
    <w:rsid w:val="001F71A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F71A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F71A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F71A8"/>
    <w:rPr>
      <w:color w:val="404040" w:themeColor="text1" w:themeTint="BF"/>
      <w:sz w:val="32"/>
      <w:szCs w:val="32"/>
    </w:rPr>
  </w:style>
  <w:style w:type="character" w:styleId="SubtleEmphasis">
    <w:name w:val="Subtle Emphasis"/>
    <w:basedOn w:val="DefaultParagraphFont"/>
    <w:uiPriority w:val="19"/>
    <w:qFormat/>
    <w:rsid w:val="001F71A8"/>
    <w:rPr>
      <w:i/>
      <w:iCs/>
      <w:color w:val="595959" w:themeColor="text1" w:themeTint="A6"/>
    </w:rPr>
  </w:style>
  <w:style w:type="character" w:styleId="IntenseEmphasis">
    <w:name w:val="Intense Emphasis"/>
    <w:basedOn w:val="DefaultParagraphFont"/>
    <w:uiPriority w:val="21"/>
    <w:qFormat/>
    <w:rsid w:val="001F71A8"/>
    <w:rPr>
      <w:b/>
      <w:bCs/>
      <w:i/>
      <w:iCs/>
    </w:rPr>
  </w:style>
  <w:style w:type="character" w:styleId="SubtleReference">
    <w:name w:val="Subtle Reference"/>
    <w:basedOn w:val="DefaultParagraphFont"/>
    <w:uiPriority w:val="31"/>
    <w:qFormat/>
    <w:rsid w:val="001F71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71A8"/>
    <w:rPr>
      <w:b/>
      <w:bCs/>
      <w:caps w:val="0"/>
      <w:smallCaps/>
      <w:color w:val="auto"/>
      <w:spacing w:val="3"/>
      <w:u w:val="single"/>
    </w:rPr>
  </w:style>
  <w:style w:type="character" w:styleId="BookTitle">
    <w:name w:val="Book Title"/>
    <w:basedOn w:val="DefaultParagraphFont"/>
    <w:uiPriority w:val="33"/>
    <w:qFormat/>
    <w:rsid w:val="001F71A8"/>
    <w:rPr>
      <w:b/>
      <w:bCs/>
      <w:smallCaps/>
      <w:spacing w:val="7"/>
    </w:rPr>
  </w:style>
  <w:style w:type="paragraph" w:styleId="TOCHeading">
    <w:name w:val="TOC Heading"/>
    <w:basedOn w:val="Heading1"/>
    <w:next w:val="Normal"/>
    <w:uiPriority w:val="39"/>
    <w:semiHidden/>
    <w:unhideWhenUsed/>
    <w:qFormat/>
    <w:rsid w:val="001F71A8"/>
    <w:pPr>
      <w:numPr>
        <w:numId w:val="3"/>
      </w:numPr>
      <w:outlineLvl w:val="9"/>
    </w:pPr>
  </w:style>
  <w:style w:type="paragraph" w:styleId="ListNumber">
    <w:name w:val="List Number"/>
    <w:basedOn w:val="Normal"/>
    <w:uiPriority w:val="99"/>
    <w:unhideWhenUsed/>
    <w:qFormat/>
    <w:rsid w:val="00762C03"/>
    <w:pPr>
      <w:numPr>
        <w:numId w:val="2"/>
      </w:numPr>
      <w:contextualSpacing/>
    </w:pPr>
  </w:style>
  <w:style w:type="paragraph" w:customStyle="1" w:styleId="encadre">
    <w:name w:val="encadre"/>
    <w:basedOn w:val="Normal"/>
    <w:uiPriority w:val="24"/>
    <w:qFormat/>
    <w:rsid w:val="00A462AA"/>
    <w:pPr>
      <w:pBdr>
        <w:top w:val="single" w:sz="8" w:space="1" w:color="auto"/>
        <w:left w:val="single" w:sz="8" w:space="4" w:color="auto"/>
        <w:bottom w:val="single" w:sz="8" w:space="1" w:color="auto"/>
        <w:right w:val="single" w:sz="8" w:space="4" w:color="auto"/>
      </w:pBdr>
      <w:spacing w:before="240" w:after="240"/>
      <w:ind w:left="567"/>
    </w:pPr>
  </w:style>
  <w:style w:type="paragraph" w:customStyle="1" w:styleId="resolution">
    <w:name w:val="resolution"/>
    <w:basedOn w:val="Normal"/>
    <w:qFormat/>
    <w:rsid w:val="00EA4CD0"/>
    <w:rPr>
      <w:b/>
      <w:i/>
    </w:rPr>
  </w:style>
  <w:style w:type="paragraph" w:customStyle="1" w:styleId="adoption">
    <w:name w:val="adoption"/>
    <w:basedOn w:val="Normal"/>
    <w:qFormat/>
    <w:rsid w:val="0014570F"/>
    <w:pPr>
      <w:jc w:val="right"/>
    </w:pPr>
    <w:rPr>
      <w:b/>
      <w:i/>
    </w:rPr>
  </w:style>
  <w:style w:type="paragraph" w:customStyle="1" w:styleId="code">
    <w:name w:val="code"/>
    <w:qFormat/>
    <w:rsid w:val="0014570F"/>
    <w:pPr>
      <w:shd w:val="clear" w:color="auto" w:fill="EAF6CE" w:themeFill="accent3" w:themeFillTint="33"/>
      <w:ind w:left="567" w:right="284"/>
    </w:pPr>
    <w:rPr>
      <w:rFonts w:ascii="Calibri" w:hAnsi="Calibri"/>
      <w:noProof/>
      <w:color w:val="000000" w:themeColor="text1"/>
    </w:rPr>
  </w:style>
  <w:style w:type="character" w:customStyle="1" w:styleId="code-text">
    <w:name w:val="code-text"/>
    <w:basedOn w:val="DefaultParagraphFont"/>
    <w:uiPriority w:val="1"/>
    <w:qFormat/>
    <w:rsid w:val="00B019AC"/>
    <w:rPr>
      <w:rFonts w:ascii="Calibri" w:hAnsi="Calibri"/>
      <w:sz w:val="22"/>
      <w:lang w:val="en-CA"/>
    </w:rPr>
  </w:style>
  <w:style w:type="paragraph" w:styleId="List">
    <w:name w:val="List"/>
    <w:basedOn w:val="Normal"/>
    <w:uiPriority w:val="99"/>
    <w:unhideWhenUsed/>
    <w:rsid w:val="00B019AC"/>
    <w:pPr>
      <w:ind w:left="283" w:hanging="283"/>
      <w:contextualSpacing/>
    </w:pPr>
  </w:style>
  <w:style w:type="paragraph" w:styleId="ListBullet">
    <w:name w:val="List Bullet"/>
    <w:basedOn w:val="Normal"/>
    <w:uiPriority w:val="99"/>
    <w:unhideWhenUsed/>
    <w:rsid w:val="00B019AC"/>
    <w:pPr>
      <w:numPr>
        <w:numId w:val="1"/>
      </w:numPr>
      <w:contextualSpacing/>
    </w:pPr>
  </w:style>
  <w:style w:type="paragraph" w:styleId="List2">
    <w:name w:val="List 2"/>
    <w:basedOn w:val="Normal"/>
    <w:uiPriority w:val="99"/>
    <w:unhideWhenUsed/>
    <w:rsid w:val="00B019AC"/>
    <w:pPr>
      <w:ind w:left="566" w:hanging="283"/>
      <w:contextualSpacing/>
    </w:pPr>
  </w:style>
  <w:style w:type="paragraph" w:styleId="ListContinue">
    <w:name w:val="List Continue"/>
    <w:basedOn w:val="Normal"/>
    <w:uiPriority w:val="99"/>
    <w:unhideWhenUsed/>
    <w:rsid w:val="00B019AC"/>
    <w:pPr>
      <w:ind w:left="283"/>
      <w:contextualSpacing/>
    </w:pPr>
  </w:style>
  <w:style w:type="paragraph" w:styleId="ListContinue2">
    <w:name w:val="List Continue 2"/>
    <w:basedOn w:val="Normal"/>
    <w:uiPriority w:val="99"/>
    <w:unhideWhenUsed/>
    <w:rsid w:val="00B019AC"/>
    <w:pPr>
      <w:ind w:left="566"/>
      <w:contextualSpacing/>
    </w:pPr>
  </w:style>
  <w:style w:type="paragraph" w:styleId="ListParagraph">
    <w:name w:val="List Paragraph"/>
    <w:basedOn w:val="Normal"/>
    <w:link w:val="ListParagraphChar"/>
    <w:uiPriority w:val="34"/>
    <w:qFormat/>
    <w:rsid w:val="00BB5E2F"/>
    <w:pPr>
      <w:ind w:left="720"/>
      <w:contextualSpacing/>
    </w:pPr>
  </w:style>
  <w:style w:type="character" w:styleId="PageNumber">
    <w:name w:val="page number"/>
    <w:basedOn w:val="DefaultParagraphFont"/>
    <w:uiPriority w:val="99"/>
    <w:unhideWhenUsed/>
    <w:rsid w:val="00B46F10"/>
  </w:style>
  <w:style w:type="character" w:styleId="Hyperlink">
    <w:name w:val="Hyperlink"/>
    <w:basedOn w:val="DefaultParagraphFont"/>
    <w:uiPriority w:val="99"/>
    <w:unhideWhenUsed/>
    <w:qFormat/>
    <w:rsid w:val="001F05EF"/>
    <w:rPr>
      <w:color w:val="90BB23" w:themeColor="hyperlink"/>
      <w:u w:val="single"/>
    </w:rPr>
  </w:style>
  <w:style w:type="table" w:styleId="TableGrid">
    <w:name w:val="Table Grid"/>
    <w:basedOn w:val="TableNormal"/>
    <w:uiPriority w:val="59"/>
    <w:rsid w:val="00034ECD"/>
    <w:pPr>
      <w:spacing w:after="0" w:line="240" w:lineRule="auto"/>
      <w:jc w:val="both"/>
    </w:pPr>
    <w:rPr>
      <w:rFonts w:ascii="Verdana" w:eastAsia="Times New Roman" w:hAnsi="Verdana" w:cs="Times New Roman"/>
      <w:sz w:val="24"/>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36A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C36A4E"/>
    <w:rPr>
      <w:rFonts w:ascii="Verdana" w:hAnsi="Verdana"/>
      <w:sz w:val="20"/>
      <w:szCs w:val="20"/>
      <w:lang w:val="fr-FR"/>
    </w:rPr>
  </w:style>
  <w:style w:type="character" w:styleId="FootnoteReference">
    <w:name w:val="footnote reference"/>
    <w:basedOn w:val="DefaultParagraphFont"/>
    <w:uiPriority w:val="99"/>
    <w:semiHidden/>
    <w:unhideWhenUsed/>
    <w:rsid w:val="00C36A4E"/>
    <w:rPr>
      <w:vertAlign w:val="superscript"/>
    </w:rPr>
  </w:style>
  <w:style w:type="character" w:customStyle="1" w:styleId="ListParagraphChar">
    <w:name w:val="List Paragraph Char"/>
    <w:basedOn w:val="DefaultParagraphFont"/>
    <w:link w:val="ListParagraph"/>
    <w:uiPriority w:val="34"/>
    <w:rsid w:val="00EA2985"/>
    <w:rPr>
      <w:rFonts w:ascii="Verdana" w:hAnsi="Verdana"/>
      <w:sz w:val="24"/>
      <w:lang w:val="fr-FR"/>
    </w:rPr>
  </w:style>
  <w:style w:type="paragraph" w:customStyle="1" w:styleId="liste-niv-1">
    <w:name w:val="liste-niv-1"/>
    <w:basedOn w:val="ListParagraph"/>
    <w:link w:val="liste-niv-1Char"/>
    <w:qFormat/>
    <w:rsid w:val="003722A6"/>
    <w:pPr>
      <w:numPr>
        <w:numId w:val="5"/>
      </w:numPr>
      <w:spacing w:after="60"/>
      <w:ind w:left="714" w:hanging="357"/>
      <w:jc w:val="both"/>
    </w:pPr>
    <w:rPr>
      <w:rFonts w:eastAsia="Times New Roman" w:cs="Times New Roman"/>
      <w:szCs w:val="20"/>
    </w:rPr>
  </w:style>
  <w:style w:type="paragraph" w:customStyle="1" w:styleId="liste-niv-2">
    <w:name w:val="liste-niv-2"/>
    <w:basedOn w:val="liste-niv-1"/>
    <w:qFormat/>
    <w:rsid w:val="003722A6"/>
    <w:pPr>
      <w:numPr>
        <w:ilvl w:val="1"/>
      </w:numPr>
    </w:pPr>
  </w:style>
  <w:style w:type="character" w:customStyle="1" w:styleId="liste-niv-1Char">
    <w:name w:val="liste-niv-1 Char"/>
    <w:basedOn w:val="ListParagraphChar"/>
    <w:link w:val="liste-niv-1"/>
    <w:rsid w:val="003722A6"/>
    <w:rPr>
      <w:rFonts w:ascii="Arial" w:eastAsia="Times New Roman" w:hAnsi="Arial" w:cs="Times New Roman"/>
      <w:sz w:val="24"/>
      <w:szCs w:val="20"/>
      <w:lang w:val="fr-FR"/>
    </w:rPr>
  </w:style>
  <w:style w:type="paragraph" w:styleId="TOC2">
    <w:name w:val="toc 2"/>
    <w:basedOn w:val="Normal"/>
    <w:next w:val="Normal"/>
    <w:autoRedefine/>
    <w:uiPriority w:val="39"/>
    <w:unhideWhenUsed/>
    <w:rsid w:val="002F515D"/>
    <w:pPr>
      <w:spacing w:after="100"/>
      <w:ind w:left="240"/>
    </w:pPr>
  </w:style>
  <w:style w:type="paragraph" w:styleId="TOC1">
    <w:name w:val="toc 1"/>
    <w:basedOn w:val="Normal"/>
    <w:next w:val="Normal"/>
    <w:autoRedefine/>
    <w:uiPriority w:val="39"/>
    <w:unhideWhenUsed/>
    <w:rsid w:val="002F515D"/>
    <w:pPr>
      <w:spacing w:after="100"/>
    </w:pPr>
  </w:style>
  <w:style w:type="paragraph" w:customStyle="1" w:styleId="address">
    <w:name w:val="address"/>
    <w:basedOn w:val="Normal"/>
    <w:link w:val="addressChar"/>
    <w:qFormat/>
    <w:rsid w:val="00CC14B9"/>
    <w:pPr>
      <w:ind w:left="5670"/>
    </w:pPr>
  </w:style>
  <w:style w:type="character" w:customStyle="1" w:styleId="addressChar">
    <w:name w:val="address Char"/>
    <w:basedOn w:val="DefaultParagraphFont"/>
    <w:link w:val="address"/>
    <w:rsid w:val="00CC14B9"/>
    <w:rPr>
      <w:rFonts w:ascii="Arial" w:hAnsi="Arial"/>
      <w:sz w:val="24"/>
      <w:lang w:val="fr-CA"/>
    </w:rPr>
  </w:style>
  <w:style w:type="character" w:styleId="FollowedHyperlink">
    <w:name w:val="FollowedHyperlink"/>
    <w:basedOn w:val="DefaultParagraphFont"/>
    <w:uiPriority w:val="99"/>
    <w:semiHidden/>
    <w:unhideWhenUsed/>
    <w:rsid w:val="008C0CF7"/>
    <w:rPr>
      <w:color w:val="EE700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1988">
      <w:bodyDiv w:val="1"/>
      <w:marLeft w:val="0"/>
      <w:marRight w:val="0"/>
      <w:marTop w:val="0"/>
      <w:marBottom w:val="0"/>
      <w:divBdr>
        <w:top w:val="none" w:sz="0" w:space="0" w:color="auto"/>
        <w:left w:val="none" w:sz="0" w:space="0" w:color="auto"/>
        <w:bottom w:val="none" w:sz="0" w:space="0" w:color="auto"/>
        <w:right w:val="none" w:sz="0" w:space="0" w:color="auto"/>
      </w:divBdr>
    </w:div>
    <w:div w:id="463472153">
      <w:bodyDiv w:val="1"/>
      <w:marLeft w:val="0"/>
      <w:marRight w:val="0"/>
      <w:marTop w:val="0"/>
      <w:marBottom w:val="0"/>
      <w:divBdr>
        <w:top w:val="none" w:sz="0" w:space="0" w:color="auto"/>
        <w:left w:val="none" w:sz="0" w:space="0" w:color="auto"/>
        <w:bottom w:val="none" w:sz="0" w:space="0" w:color="auto"/>
        <w:right w:val="none" w:sz="0" w:space="0" w:color="auto"/>
      </w:divBdr>
    </w:div>
    <w:div w:id="911354338">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sChild>
        <w:div w:id="1387796507">
          <w:marLeft w:val="0"/>
          <w:marRight w:val="0"/>
          <w:marTop w:val="0"/>
          <w:marBottom w:val="0"/>
          <w:divBdr>
            <w:top w:val="none" w:sz="0" w:space="0" w:color="auto"/>
            <w:left w:val="none" w:sz="0" w:space="0" w:color="auto"/>
            <w:bottom w:val="none" w:sz="0" w:space="0" w:color="auto"/>
            <w:right w:val="none" w:sz="0" w:space="0" w:color="auto"/>
          </w:divBdr>
          <w:divsChild>
            <w:div w:id="536548642">
              <w:marLeft w:val="0"/>
              <w:marRight w:val="0"/>
              <w:marTop w:val="0"/>
              <w:marBottom w:val="0"/>
              <w:divBdr>
                <w:top w:val="none" w:sz="0" w:space="0" w:color="auto"/>
                <w:left w:val="none" w:sz="0" w:space="0" w:color="auto"/>
                <w:bottom w:val="none" w:sz="0" w:space="0" w:color="auto"/>
                <w:right w:val="none" w:sz="0" w:space="0" w:color="auto"/>
              </w:divBdr>
              <w:divsChild>
                <w:div w:id="73552566">
                  <w:marLeft w:val="0"/>
                  <w:marRight w:val="0"/>
                  <w:marTop w:val="0"/>
                  <w:marBottom w:val="0"/>
                  <w:divBdr>
                    <w:top w:val="none" w:sz="0" w:space="0" w:color="auto"/>
                    <w:left w:val="none" w:sz="0" w:space="0" w:color="auto"/>
                    <w:bottom w:val="none" w:sz="0" w:space="0" w:color="auto"/>
                    <w:right w:val="none" w:sz="0" w:space="0" w:color="auto"/>
                  </w:divBdr>
                  <w:divsChild>
                    <w:div w:id="1019085197">
                      <w:marLeft w:val="0"/>
                      <w:marRight w:val="0"/>
                      <w:marTop w:val="0"/>
                      <w:marBottom w:val="0"/>
                      <w:divBdr>
                        <w:top w:val="none" w:sz="0" w:space="0" w:color="auto"/>
                        <w:left w:val="none" w:sz="0" w:space="0" w:color="auto"/>
                        <w:bottom w:val="none" w:sz="0" w:space="0" w:color="auto"/>
                        <w:right w:val="none" w:sz="0" w:space="0" w:color="auto"/>
                      </w:divBdr>
                      <w:divsChild>
                        <w:div w:id="278997270">
                          <w:marLeft w:val="0"/>
                          <w:marRight w:val="0"/>
                          <w:marTop w:val="0"/>
                          <w:marBottom w:val="0"/>
                          <w:divBdr>
                            <w:top w:val="none" w:sz="0" w:space="0" w:color="auto"/>
                            <w:left w:val="none" w:sz="0" w:space="0" w:color="auto"/>
                            <w:bottom w:val="none" w:sz="0" w:space="0" w:color="auto"/>
                            <w:right w:val="none" w:sz="0" w:space="0" w:color="auto"/>
                          </w:divBdr>
                          <w:divsChild>
                            <w:div w:id="712386273">
                              <w:marLeft w:val="0"/>
                              <w:marRight w:val="0"/>
                              <w:marTop w:val="0"/>
                              <w:marBottom w:val="0"/>
                              <w:divBdr>
                                <w:top w:val="none" w:sz="0" w:space="0" w:color="auto"/>
                                <w:left w:val="none" w:sz="0" w:space="0" w:color="auto"/>
                                <w:bottom w:val="none" w:sz="0" w:space="0" w:color="auto"/>
                                <w:right w:val="none" w:sz="0" w:space="0" w:color="auto"/>
                              </w:divBdr>
                              <w:divsChild>
                                <w:div w:id="1741830996">
                                  <w:marLeft w:val="0"/>
                                  <w:marRight w:val="0"/>
                                  <w:marTop w:val="225"/>
                                  <w:marBottom w:val="225"/>
                                  <w:divBdr>
                                    <w:top w:val="none" w:sz="0" w:space="0" w:color="auto"/>
                                    <w:left w:val="none" w:sz="0" w:space="0" w:color="auto"/>
                                    <w:bottom w:val="none" w:sz="0" w:space="0" w:color="auto"/>
                                    <w:right w:val="none" w:sz="0" w:space="0" w:color="auto"/>
                                  </w:divBdr>
                                  <w:divsChild>
                                    <w:div w:id="145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cpm.qc.ca/sites/ocpm.qc.ca/files/pdf/P99/3.1_consultation_racisme_et_discrimination_fr_26-04-19_.pdf" TargetMode="External"/><Relationship Id="rId18" Type="http://schemas.openxmlformats.org/officeDocument/2006/relationships/hyperlink" Target="http://legisquebec.gouv.qc.ca/fr/showdoc/cs/C-12" TargetMode="External"/><Relationship Id="rId26" Type="http://schemas.openxmlformats.org/officeDocument/2006/relationships/hyperlink" Target="http://ripph.qc.ca/" TargetMode="External"/><Relationship Id="rId3" Type="http://schemas.openxmlformats.org/officeDocument/2006/relationships/styles" Target="styles.xml"/><Relationship Id="rId21" Type="http://schemas.openxmlformats.org/officeDocument/2006/relationships/hyperlink" Target="http://legisquebec.gouv.qc.ca/fr/showversion/cs/E-20.1?code=se:61_1&amp;pointInTime=2016071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cpm.qc.ca/fr/r%26ds" TargetMode="External"/><Relationship Id="rId17" Type="http://schemas.openxmlformats.org/officeDocument/2006/relationships/hyperlink" Target="http://ocpm.qc.ca/fr/r%26ds/opinions" TargetMode="External"/><Relationship Id="rId25" Type="http://schemas.openxmlformats.org/officeDocument/2006/relationships/image" Target="media/image2.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legisquebec.gouv.qc.ca/fr/showdoc/cs/C-12" TargetMode="External"/><Relationship Id="rId20" Type="http://schemas.openxmlformats.org/officeDocument/2006/relationships/hyperlink" Target="http://ville.montreal.qc.ca/portal/page?_pageid=5798,139375630&amp;_dad=portal&amp;_schema=PORTA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pm.qc.ca/sites/ocpm.qc.ca/files/pdf/P99/3.1_consultation_racisme_et_discrimination_fr_26-04-19_.pdf" TargetMode="External"/><Relationship Id="rId24" Type="http://schemas.openxmlformats.org/officeDocument/2006/relationships/hyperlink" Target="https://www.journaldemontreal.com/2019/02/25/un-service-de-deneigement-sera-offert-aux-personnes-a-mobilite-reduite-a-montreal-1"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ville.montreal.qc.ca/portal/page?_pageid=8258,90439645&amp;_dad=portal&amp;_schema=PORTAL" TargetMode="External"/><Relationship Id="rId23" Type="http://schemas.openxmlformats.org/officeDocument/2006/relationships/hyperlink" Target="https://dephy-mtl.org/docs/2018-11-30-MEM-DePhy_Mtl-commentaires%26recommandations-plan-action-AU-2019-2020-Ville_Mtl-vf.pdf" TargetMode="External"/><Relationship Id="rId28" Type="http://schemas.openxmlformats.org/officeDocument/2006/relationships/header" Target="header1.xml"/><Relationship Id="rId10" Type="http://schemas.openxmlformats.org/officeDocument/2006/relationships/hyperlink" Target="http://www.cdpdj.qc.ca/fr/pages/lexique.aspx" TargetMode="External"/><Relationship Id="rId19" Type="http://schemas.openxmlformats.org/officeDocument/2006/relationships/hyperlink" Target="file:///C:\1-luc%20on%20wallaby\projets\dephy-mtl\tmp\10-2019\CN%20c.%20Canada%20(Commission%20canadienne%20des%20droits%20de%20la%20personn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dephy-mtl.org" TargetMode="External"/><Relationship Id="rId14" Type="http://schemas.openxmlformats.org/officeDocument/2006/relationships/hyperlink" Target="https://www.realisonsmtl.ca/accessibilite?fb_page_type=project&amp;fb_tool_id=6768" TargetMode="External"/><Relationship Id="rId22" Type="http://schemas.openxmlformats.org/officeDocument/2006/relationships/hyperlink" Target="https://ville.montreal.qc.ca/portal/page?_pageid=8258,90439740&amp;_dad=portal&amp;_schema=PORTAL" TargetMode="External"/><Relationship Id="rId27" Type="http://schemas.openxmlformats.org/officeDocument/2006/relationships/hyperlink" Target="http://ripph.qc.ca/modele-mdh-pph/le-model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cdpdj.qc.ca/fr/droits-de-la-personne/responsabilites-employeurs/pae/Pages/default.aspx" TargetMode="External"/><Relationship Id="rId7" Type="http://schemas.openxmlformats.org/officeDocument/2006/relationships/hyperlink" Target="http://legisquebec.gouv.qc.ca/fr/showdoc/cs/C-12" TargetMode="External"/><Relationship Id="rId2" Type="http://schemas.openxmlformats.org/officeDocument/2006/relationships/hyperlink" Target="file:///C:\anne-kiwi\DePhy_Mtl\6-instances-concertation\DePhy_Mtl\CMA-comite-accessibilite-DePhy_Mtl\ocpm.qc.ca\sites\ocpm.qc.ca\files\pdf\P99\3.1_consultation_racisme_et_discrimination_fr_26-04-19_.pdf" TargetMode="External"/><Relationship Id="rId1" Type="http://schemas.openxmlformats.org/officeDocument/2006/relationships/hyperlink" Target="https://www150.statcan.gc.ca/n1/pub/81-004-x/def/4068739-fra.htm" TargetMode="External"/><Relationship Id="rId6" Type="http://schemas.openxmlformats.org/officeDocument/2006/relationships/hyperlink" Target="https://www.google.com/url?sa=t&amp;rct=j&amp;q=&amp;esrc=s&amp;source=web&amp;cd=6&amp;ved=2ahUKEwivz9_nlsTlAhVMn-AKHWv5AcUQFjAFegQIBxAC&amp;url=http%3A%2F%2Fwww.tribunaux.qc.ca%2FTDP%2FBilanActivites%2FBilan2008-09_finalEgzakt.pdf&amp;usg=AOvVaw1FVuzbmu7GSBa_-Xx_uTdF" TargetMode="External"/><Relationship Id="rId5" Type="http://schemas.openxmlformats.org/officeDocument/2006/relationships/hyperlink" Target="https://www.ledevoir.com/societe/564442/le-nombre-de-dossiers-de-plaintes-ouverts-en-protection-des-droits-de-la-personne-en-hausse" TargetMode="External"/><Relationship Id="rId4" Type="http://schemas.openxmlformats.org/officeDocument/2006/relationships/hyperlink" Target="http://www.cdpdj.qc.ca/fr/droits-de-la-personne/domaines/Pages/travail.aspx" TargetMode="Externa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3CA7-9E62-4F60-9550-F927235D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38</Pages>
  <Words>12263</Words>
  <Characters>67447</Characters>
  <Application>Microsoft Office Word</Application>
  <DocSecurity>0</DocSecurity>
  <Lines>562</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anne</cp:lastModifiedBy>
  <cp:revision>13</cp:revision>
  <cp:lastPrinted>2017-06-21T16:15:00Z</cp:lastPrinted>
  <dcterms:created xsi:type="dcterms:W3CDTF">2019-11-04T21:28:00Z</dcterms:created>
  <dcterms:modified xsi:type="dcterms:W3CDTF">2019-11-04T22:45:00Z</dcterms:modified>
</cp:coreProperties>
</file>