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7F" w:rsidRPr="00507D1D" w:rsidRDefault="0079218E" w:rsidP="00507D1D">
      <w:bookmarkStart w:id="0" w:name="_GoBack"/>
      <w:bookmarkEnd w:id="0"/>
      <w:r w:rsidRPr="00507D1D">
        <w:rPr>
          <w:noProof/>
          <w:lang w:eastAsia="fr-FR"/>
        </w:rPr>
        <w:drawing>
          <wp:anchor distT="0" distB="0" distL="114300" distR="114300" simplePos="0" relativeHeight="251658240" behindDoc="0" locked="0" layoutInCell="1" allowOverlap="1" wp14:anchorId="23F325A8" wp14:editId="41F86630">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rsidR="00DB297E" w:rsidRPr="00507D1D" w:rsidRDefault="00D4630A" w:rsidP="00507D1D">
      <w:pPr>
        <w:pStyle w:val="Title"/>
      </w:pPr>
      <w:r>
        <w:t>Mémoire</w:t>
      </w:r>
      <w:r w:rsidR="006830A4">
        <w:t xml:space="preserve"> </w:t>
      </w:r>
    </w:p>
    <w:p w:rsidR="00885839" w:rsidRPr="002B27E0" w:rsidRDefault="00D4630A" w:rsidP="00EF7C09">
      <w:pPr>
        <w:pStyle w:val="Subtitle"/>
        <w:rPr>
          <w:sz w:val="26"/>
        </w:rPr>
      </w:pPr>
      <w:r w:rsidRPr="002B27E0">
        <w:rPr>
          <w:sz w:val="26"/>
        </w:rPr>
        <w:t xml:space="preserve">Présenté au Ministère du Travail, de l’Emploi et de la Solidarité sociale </w:t>
      </w:r>
      <w:r w:rsidR="002B27E0" w:rsidRPr="002B27E0">
        <w:rPr>
          <w:sz w:val="26"/>
        </w:rPr>
        <w:br/>
        <w:t>D</w:t>
      </w:r>
      <w:r w:rsidR="00EF7C09" w:rsidRPr="002B27E0">
        <w:rPr>
          <w:sz w:val="26"/>
        </w:rPr>
        <w:t>ans le ca</w:t>
      </w:r>
      <w:r w:rsidR="004C7257" w:rsidRPr="002B27E0">
        <w:rPr>
          <w:sz w:val="26"/>
        </w:rPr>
        <w:t>dre de la consultation sur</w:t>
      </w:r>
      <w:r w:rsidR="002B27E0" w:rsidRPr="002B27E0">
        <w:rPr>
          <w:sz w:val="26"/>
        </w:rPr>
        <w:t xml:space="preserve"> un nouveau </w:t>
      </w:r>
      <w:r w:rsidR="004C7257" w:rsidRPr="002B27E0">
        <w:rPr>
          <w:sz w:val="26"/>
        </w:rPr>
        <w:t>P</w:t>
      </w:r>
      <w:r w:rsidR="00EF7C09" w:rsidRPr="002B27E0">
        <w:rPr>
          <w:sz w:val="26"/>
        </w:rPr>
        <w:t>lan d’action gouvernemental en matière d’act</w:t>
      </w:r>
      <w:r w:rsidR="004C7257" w:rsidRPr="002B27E0">
        <w:rPr>
          <w:sz w:val="26"/>
        </w:rPr>
        <w:t xml:space="preserve">ion communautaire </w:t>
      </w:r>
    </w:p>
    <w:p w:rsidR="00885839" w:rsidRPr="00507D1D" w:rsidRDefault="006830A4" w:rsidP="00507D1D">
      <w:pPr>
        <w:pStyle w:val="address"/>
      </w:pPr>
      <w:r>
        <w:t>0</w:t>
      </w:r>
      <w:r w:rsidR="00C05D1A">
        <w:t>6</w:t>
      </w:r>
      <w:r>
        <w:t xml:space="preserve"> décembre 2019</w:t>
      </w:r>
    </w:p>
    <w:p w:rsidR="00885839" w:rsidRPr="00507D1D" w:rsidRDefault="00885839" w:rsidP="00507D1D"/>
    <w:p w:rsidR="004E4D7F" w:rsidRPr="00507D1D" w:rsidRDefault="001F05EF" w:rsidP="00507D1D">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p>
    <w:p w:rsidR="004E4D7F" w:rsidRPr="00507D1D" w:rsidRDefault="004E4D7F" w:rsidP="00507D1D">
      <w:pPr>
        <w:pStyle w:val="address"/>
      </w:pPr>
    </w:p>
    <w:p w:rsidR="00CC14B9" w:rsidRPr="00507D1D" w:rsidRDefault="00643FC5" w:rsidP="00507D1D">
      <w:bookmarkStart w:id="1" w:name="_Toc485810406"/>
      <w:bookmarkStart w:id="2" w:name="_Toc515953941"/>
      <w:bookmarkStart w:id="3" w:name="_Toc516063389"/>
      <w:bookmarkStart w:id="4" w:name="_Toc526073454"/>
      <w:bookmarkStart w:id="5" w:name="_Toc530234296"/>
      <w:r w:rsidRPr="00507D1D">
        <w:lastRenderedPageBreak/>
        <w:br/>
      </w:r>
    </w:p>
    <w:p w:rsidR="00DB31EB" w:rsidRDefault="00DB31EB" w:rsidP="00507D1D"/>
    <w:p w:rsidR="007F28D2" w:rsidRDefault="007F28D2" w:rsidP="00507D1D">
      <w:r w:rsidRPr="00507D1D">
        <w:t xml:space="preserve">Rédaction : </w:t>
      </w:r>
      <w:r w:rsidR="008420EF">
        <w:t xml:space="preserve"> </w:t>
      </w:r>
    </w:p>
    <w:p w:rsidR="008420EF" w:rsidRPr="00507D1D" w:rsidRDefault="008420EF" w:rsidP="007D7E7B">
      <w:pPr>
        <w:numPr>
          <w:ilvl w:val="0"/>
          <w:numId w:val="6"/>
        </w:numPr>
      </w:pPr>
      <w:r>
        <w:t>Anne Pelletier, directrice générale</w:t>
      </w:r>
      <w:r>
        <w:br/>
        <w:t>DéPhy Montréal</w:t>
      </w:r>
    </w:p>
    <w:p w:rsidR="00DB31EB" w:rsidRDefault="00DB31EB" w:rsidP="00507D1D"/>
    <w:p w:rsidR="001B0862" w:rsidRDefault="001B0862" w:rsidP="00507D1D">
      <w:r>
        <w:t xml:space="preserve">Révision linguistique : </w:t>
      </w:r>
    </w:p>
    <w:p w:rsidR="001B0862" w:rsidRDefault="001B0862" w:rsidP="007D7E7B">
      <w:pPr>
        <w:numPr>
          <w:ilvl w:val="0"/>
          <w:numId w:val="7"/>
        </w:numPr>
      </w:pPr>
      <w:r>
        <w:t>Marie-Cécile Bertard, agente de communications</w:t>
      </w:r>
      <w:r>
        <w:br/>
        <w:t>DéPhy Montréal</w:t>
      </w:r>
    </w:p>
    <w:p w:rsidR="003857C1" w:rsidRDefault="003857C1" w:rsidP="00507D1D"/>
    <w:p w:rsidR="007F28D2" w:rsidRDefault="003857C1" w:rsidP="00507D1D">
      <w:r>
        <w:t xml:space="preserve">Avec la collaboration de : </w:t>
      </w:r>
    </w:p>
    <w:p w:rsidR="00661BA7" w:rsidRDefault="003857C1" w:rsidP="003857C1">
      <w:pPr>
        <w:numPr>
          <w:ilvl w:val="0"/>
          <w:numId w:val="9"/>
        </w:numPr>
      </w:pPr>
      <w:r>
        <w:t xml:space="preserve">Cécile Retg, administratrice </w:t>
      </w:r>
      <w:r>
        <w:br/>
        <w:t>Association québécoise des personnes de petite taille</w:t>
      </w:r>
    </w:p>
    <w:p w:rsidR="003857C1" w:rsidRDefault="00661BA7" w:rsidP="003857C1">
      <w:pPr>
        <w:numPr>
          <w:ilvl w:val="0"/>
          <w:numId w:val="9"/>
        </w:numPr>
      </w:pPr>
      <w:r>
        <w:t>Marie-Josée Richard, présidente</w:t>
      </w:r>
      <w:r w:rsidR="00A92735">
        <w:t xml:space="preserve"> du conseil d’administration</w:t>
      </w:r>
      <w:r>
        <w:br/>
      </w:r>
      <w:r w:rsidRPr="00661BA7">
        <w:t>Association du Québec pour Enfants avec Problèmes Auditifs Montréal Régional</w:t>
      </w:r>
    </w:p>
    <w:p w:rsidR="00A92735" w:rsidRDefault="00A92735" w:rsidP="003857C1">
      <w:pPr>
        <w:numPr>
          <w:ilvl w:val="0"/>
          <w:numId w:val="9"/>
        </w:numPr>
      </w:pPr>
      <w:r>
        <w:t>Myriam Lemire, secrétaire du conseil d’administration</w:t>
      </w:r>
    </w:p>
    <w:p w:rsidR="003857C1" w:rsidRPr="00507D1D" w:rsidRDefault="003857C1" w:rsidP="003857C1">
      <w:pPr>
        <w:numPr>
          <w:ilvl w:val="0"/>
          <w:numId w:val="9"/>
        </w:numPr>
      </w:pPr>
      <w:r>
        <w:t xml:space="preserve">Suzanne Cloutier, administratrice </w:t>
      </w:r>
      <w:r>
        <w:br/>
        <w:t xml:space="preserve">Camp Massawippi </w:t>
      </w:r>
    </w:p>
    <w:p w:rsidR="007F28D2" w:rsidRPr="00507D1D" w:rsidRDefault="007F28D2" w:rsidP="00507D1D">
      <w:pPr>
        <w:rPr>
          <w:rFonts w:eastAsiaTheme="majorEastAsia" w:cstheme="majorBidi"/>
          <w:color w:val="404040" w:themeColor="text1" w:themeTint="BF"/>
          <w:sz w:val="36"/>
          <w:szCs w:val="36"/>
        </w:rPr>
      </w:pPr>
      <w:r w:rsidRPr="00507D1D">
        <w:br w:type="page"/>
      </w:r>
    </w:p>
    <w:p w:rsidR="00DB297E" w:rsidRPr="00507D1D" w:rsidRDefault="007129FB" w:rsidP="00507D1D">
      <w:pPr>
        <w:pStyle w:val="Heading1"/>
        <w:numPr>
          <w:ilvl w:val="0"/>
          <w:numId w:val="0"/>
        </w:numPr>
      </w:pPr>
      <w:bookmarkStart w:id="6" w:name="_Toc26387585"/>
      <w:bookmarkStart w:id="7" w:name="_Toc26388487"/>
      <w:bookmarkStart w:id="8" w:name="_Toc26497138"/>
      <w:bookmarkStart w:id="9" w:name="_Toc26537117"/>
      <w:bookmarkStart w:id="10" w:name="_Toc26543490"/>
      <w:r w:rsidRPr="00507D1D">
        <w:lastRenderedPageBreak/>
        <w:t>Table des matières</w:t>
      </w:r>
      <w:bookmarkEnd w:id="1"/>
      <w:bookmarkEnd w:id="2"/>
      <w:bookmarkEnd w:id="3"/>
      <w:bookmarkEnd w:id="4"/>
      <w:bookmarkEnd w:id="5"/>
      <w:bookmarkEnd w:id="6"/>
      <w:bookmarkEnd w:id="7"/>
      <w:bookmarkEnd w:id="8"/>
      <w:bookmarkEnd w:id="9"/>
      <w:bookmarkEnd w:id="10"/>
      <w:r w:rsidR="008E57EA" w:rsidRPr="00507D1D">
        <w:t xml:space="preserve"> </w:t>
      </w:r>
    </w:p>
    <w:p w:rsidR="008E14A9" w:rsidRDefault="00DB297E" w:rsidP="00507D1D">
      <w:pPr>
        <w:rPr>
          <w:noProof/>
        </w:rPr>
      </w:pPr>
      <w:r w:rsidRPr="00507D1D">
        <w:t xml:space="preserve"> </w:t>
      </w:r>
      <w:r w:rsidR="00F84B0A" w:rsidRPr="00507D1D">
        <w:fldChar w:fldCharType="begin"/>
      </w:r>
      <w:r w:rsidR="00F84B0A" w:rsidRPr="00507D1D">
        <w:instrText xml:space="preserve"> TOC \o "1-2" \h \z \u </w:instrText>
      </w:r>
      <w:r w:rsidR="00F84B0A" w:rsidRPr="00507D1D">
        <w:fldChar w:fldCharType="separate"/>
      </w:r>
    </w:p>
    <w:p w:rsidR="008E14A9" w:rsidRDefault="002A669F">
      <w:pPr>
        <w:pStyle w:val="TOC1"/>
        <w:tabs>
          <w:tab w:val="left" w:pos="440"/>
          <w:tab w:val="right" w:leader="dot" w:pos="9350"/>
        </w:tabs>
        <w:rPr>
          <w:rFonts w:asciiTheme="minorHAnsi" w:hAnsiTheme="minorHAnsi"/>
          <w:noProof/>
          <w:sz w:val="22"/>
          <w:lang w:val="en-CA" w:eastAsia="en-CA"/>
        </w:rPr>
      </w:pPr>
      <w:hyperlink w:anchor="_Toc26543491" w:history="1">
        <w:r w:rsidR="008E14A9" w:rsidRPr="00555E0D">
          <w:rPr>
            <w:rStyle w:val="Hyperlink"/>
            <w:noProof/>
          </w:rPr>
          <w:t>1</w:t>
        </w:r>
        <w:r w:rsidR="008E14A9">
          <w:rPr>
            <w:rFonts w:asciiTheme="minorHAnsi" w:hAnsiTheme="minorHAnsi"/>
            <w:noProof/>
            <w:sz w:val="22"/>
            <w:lang w:val="en-CA" w:eastAsia="en-CA"/>
          </w:rPr>
          <w:tab/>
        </w:r>
        <w:r w:rsidR="008E14A9" w:rsidRPr="00555E0D">
          <w:rPr>
            <w:rStyle w:val="Hyperlink"/>
            <w:noProof/>
          </w:rPr>
          <w:t>À propos de DéPhy Montréal</w:t>
        </w:r>
        <w:r w:rsidR="008E14A9">
          <w:rPr>
            <w:noProof/>
            <w:webHidden/>
          </w:rPr>
          <w:tab/>
        </w:r>
        <w:r w:rsidR="008E14A9">
          <w:rPr>
            <w:noProof/>
            <w:webHidden/>
          </w:rPr>
          <w:fldChar w:fldCharType="begin"/>
        </w:r>
        <w:r w:rsidR="008E14A9">
          <w:rPr>
            <w:noProof/>
            <w:webHidden/>
          </w:rPr>
          <w:instrText xml:space="preserve"> PAGEREF _Toc26543491 \h </w:instrText>
        </w:r>
        <w:r w:rsidR="008E14A9">
          <w:rPr>
            <w:noProof/>
            <w:webHidden/>
          </w:rPr>
        </w:r>
        <w:r w:rsidR="008E14A9">
          <w:rPr>
            <w:noProof/>
            <w:webHidden/>
          </w:rPr>
          <w:fldChar w:fldCharType="separate"/>
        </w:r>
        <w:r w:rsidR="008E14A9">
          <w:rPr>
            <w:noProof/>
            <w:webHidden/>
          </w:rPr>
          <w:t>4</w:t>
        </w:r>
        <w:r w:rsidR="008E14A9">
          <w:rPr>
            <w:noProof/>
            <w:webHidden/>
          </w:rPr>
          <w:fldChar w:fldCharType="end"/>
        </w:r>
      </w:hyperlink>
    </w:p>
    <w:p w:rsidR="008E14A9" w:rsidRDefault="002A669F">
      <w:pPr>
        <w:pStyle w:val="TOC1"/>
        <w:tabs>
          <w:tab w:val="left" w:pos="440"/>
          <w:tab w:val="right" w:leader="dot" w:pos="9350"/>
        </w:tabs>
        <w:rPr>
          <w:rFonts w:asciiTheme="minorHAnsi" w:hAnsiTheme="minorHAnsi"/>
          <w:noProof/>
          <w:sz w:val="22"/>
          <w:lang w:val="en-CA" w:eastAsia="en-CA"/>
        </w:rPr>
      </w:pPr>
      <w:hyperlink w:anchor="_Toc26543492" w:history="1">
        <w:r w:rsidR="008E14A9" w:rsidRPr="00555E0D">
          <w:rPr>
            <w:rStyle w:val="Hyperlink"/>
            <w:noProof/>
          </w:rPr>
          <w:t>2</w:t>
        </w:r>
        <w:r w:rsidR="008E14A9">
          <w:rPr>
            <w:rFonts w:asciiTheme="minorHAnsi" w:hAnsiTheme="minorHAnsi"/>
            <w:noProof/>
            <w:sz w:val="22"/>
            <w:lang w:val="en-CA" w:eastAsia="en-CA"/>
          </w:rPr>
          <w:tab/>
        </w:r>
        <w:r w:rsidR="008E14A9" w:rsidRPr="00555E0D">
          <w:rPr>
            <w:rStyle w:val="Hyperlink"/>
            <w:noProof/>
          </w:rPr>
          <w:t>Introduction</w:t>
        </w:r>
        <w:r w:rsidR="008E14A9">
          <w:rPr>
            <w:noProof/>
            <w:webHidden/>
          </w:rPr>
          <w:tab/>
        </w:r>
        <w:r w:rsidR="008E14A9">
          <w:rPr>
            <w:noProof/>
            <w:webHidden/>
          </w:rPr>
          <w:fldChar w:fldCharType="begin"/>
        </w:r>
        <w:r w:rsidR="008E14A9">
          <w:rPr>
            <w:noProof/>
            <w:webHidden/>
          </w:rPr>
          <w:instrText xml:space="preserve"> PAGEREF _Toc26543492 \h </w:instrText>
        </w:r>
        <w:r w:rsidR="008E14A9">
          <w:rPr>
            <w:noProof/>
            <w:webHidden/>
          </w:rPr>
        </w:r>
        <w:r w:rsidR="008E14A9">
          <w:rPr>
            <w:noProof/>
            <w:webHidden/>
          </w:rPr>
          <w:fldChar w:fldCharType="separate"/>
        </w:r>
        <w:r w:rsidR="008E14A9">
          <w:rPr>
            <w:noProof/>
            <w:webHidden/>
          </w:rPr>
          <w:t>4</w:t>
        </w:r>
        <w:r w:rsidR="008E14A9">
          <w:rPr>
            <w:noProof/>
            <w:webHidden/>
          </w:rPr>
          <w:fldChar w:fldCharType="end"/>
        </w:r>
      </w:hyperlink>
    </w:p>
    <w:p w:rsidR="008E14A9" w:rsidRDefault="002A669F">
      <w:pPr>
        <w:pStyle w:val="TOC1"/>
        <w:tabs>
          <w:tab w:val="left" w:pos="440"/>
          <w:tab w:val="right" w:leader="dot" w:pos="9350"/>
        </w:tabs>
        <w:rPr>
          <w:rFonts w:asciiTheme="minorHAnsi" w:hAnsiTheme="minorHAnsi"/>
          <w:noProof/>
          <w:sz w:val="22"/>
          <w:lang w:val="en-CA" w:eastAsia="en-CA"/>
        </w:rPr>
      </w:pPr>
      <w:hyperlink w:anchor="_Toc26543493" w:history="1">
        <w:r w:rsidR="008E14A9" w:rsidRPr="00555E0D">
          <w:rPr>
            <w:rStyle w:val="Hyperlink"/>
            <w:noProof/>
          </w:rPr>
          <w:t>3</w:t>
        </w:r>
        <w:r w:rsidR="008E14A9">
          <w:rPr>
            <w:rFonts w:asciiTheme="minorHAnsi" w:hAnsiTheme="minorHAnsi"/>
            <w:noProof/>
            <w:sz w:val="22"/>
            <w:lang w:val="en-CA" w:eastAsia="en-CA"/>
          </w:rPr>
          <w:tab/>
        </w:r>
        <w:r w:rsidR="008E14A9" w:rsidRPr="00555E0D">
          <w:rPr>
            <w:rStyle w:val="Hyperlink"/>
            <w:noProof/>
          </w:rPr>
          <w:t>Thématique 1 - la consolidation et le développement de l’action communautaire autonome</w:t>
        </w:r>
        <w:r w:rsidR="008E14A9">
          <w:rPr>
            <w:noProof/>
            <w:webHidden/>
          </w:rPr>
          <w:tab/>
        </w:r>
        <w:r w:rsidR="008E14A9">
          <w:rPr>
            <w:noProof/>
            <w:webHidden/>
          </w:rPr>
          <w:fldChar w:fldCharType="begin"/>
        </w:r>
        <w:r w:rsidR="008E14A9">
          <w:rPr>
            <w:noProof/>
            <w:webHidden/>
          </w:rPr>
          <w:instrText xml:space="preserve"> PAGEREF _Toc26543493 \h </w:instrText>
        </w:r>
        <w:r w:rsidR="008E14A9">
          <w:rPr>
            <w:noProof/>
            <w:webHidden/>
          </w:rPr>
        </w:r>
        <w:r w:rsidR="008E14A9">
          <w:rPr>
            <w:noProof/>
            <w:webHidden/>
          </w:rPr>
          <w:fldChar w:fldCharType="separate"/>
        </w:r>
        <w:r w:rsidR="008E14A9">
          <w:rPr>
            <w:noProof/>
            <w:webHidden/>
          </w:rPr>
          <w:t>5</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494" w:history="1">
        <w:r w:rsidR="008E14A9" w:rsidRPr="00555E0D">
          <w:rPr>
            <w:rStyle w:val="Hyperlink"/>
            <w:noProof/>
          </w:rPr>
          <w:t>3.1</w:t>
        </w:r>
        <w:r w:rsidR="008E14A9">
          <w:rPr>
            <w:rFonts w:asciiTheme="minorHAnsi" w:hAnsiTheme="minorHAnsi"/>
            <w:noProof/>
            <w:sz w:val="22"/>
            <w:lang w:val="en-CA" w:eastAsia="en-CA"/>
          </w:rPr>
          <w:tab/>
        </w:r>
        <w:r w:rsidR="008E14A9" w:rsidRPr="00555E0D">
          <w:rPr>
            <w:rStyle w:val="Hyperlink"/>
            <w:noProof/>
          </w:rPr>
          <w:t>Participation des personnes ayant des limitations fonctionnelles à la vie associative des organismes communautaires</w:t>
        </w:r>
        <w:r w:rsidR="008E14A9">
          <w:rPr>
            <w:noProof/>
            <w:webHidden/>
          </w:rPr>
          <w:tab/>
        </w:r>
        <w:r w:rsidR="008E14A9">
          <w:rPr>
            <w:noProof/>
            <w:webHidden/>
          </w:rPr>
          <w:fldChar w:fldCharType="begin"/>
        </w:r>
        <w:r w:rsidR="008E14A9">
          <w:rPr>
            <w:noProof/>
            <w:webHidden/>
          </w:rPr>
          <w:instrText xml:space="preserve"> PAGEREF _Toc26543494 \h </w:instrText>
        </w:r>
        <w:r w:rsidR="008E14A9">
          <w:rPr>
            <w:noProof/>
            <w:webHidden/>
          </w:rPr>
        </w:r>
        <w:r w:rsidR="008E14A9">
          <w:rPr>
            <w:noProof/>
            <w:webHidden/>
          </w:rPr>
          <w:fldChar w:fldCharType="separate"/>
        </w:r>
        <w:r w:rsidR="008E14A9">
          <w:rPr>
            <w:noProof/>
            <w:webHidden/>
          </w:rPr>
          <w:t>5</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495" w:history="1">
        <w:r w:rsidR="008E14A9" w:rsidRPr="00555E0D">
          <w:rPr>
            <w:rStyle w:val="Hyperlink"/>
            <w:noProof/>
          </w:rPr>
          <w:t>3.2</w:t>
        </w:r>
        <w:r w:rsidR="008E14A9">
          <w:rPr>
            <w:rFonts w:asciiTheme="minorHAnsi" w:hAnsiTheme="minorHAnsi"/>
            <w:noProof/>
            <w:sz w:val="22"/>
            <w:lang w:val="en-CA" w:eastAsia="en-CA"/>
          </w:rPr>
          <w:tab/>
        </w:r>
        <w:r w:rsidR="008E14A9" w:rsidRPr="00555E0D">
          <w:rPr>
            <w:rStyle w:val="Hyperlink"/>
            <w:noProof/>
          </w:rPr>
          <w:t>Embauche, intégration et maintien en emploi des personnes ayant des limitations fonctionnelles dans les organismes communautaires</w:t>
        </w:r>
        <w:r w:rsidR="008E14A9">
          <w:rPr>
            <w:noProof/>
            <w:webHidden/>
          </w:rPr>
          <w:tab/>
        </w:r>
        <w:r w:rsidR="008E14A9">
          <w:rPr>
            <w:noProof/>
            <w:webHidden/>
          </w:rPr>
          <w:fldChar w:fldCharType="begin"/>
        </w:r>
        <w:r w:rsidR="008E14A9">
          <w:rPr>
            <w:noProof/>
            <w:webHidden/>
          </w:rPr>
          <w:instrText xml:space="preserve"> PAGEREF _Toc26543495 \h </w:instrText>
        </w:r>
        <w:r w:rsidR="008E14A9">
          <w:rPr>
            <w:noProof/>
            <w:webHidden/>
          </w:rPr>
        </w:r>
        <w:r w:rsidR="008E14A9">
          <w:rPr>
            <w:noProof/>
            <w:webHidden/>
          </w:rPr>
          <w:fldChar w:fldCharType="separate"/>
        </w:r>
        <w:r w:rsidR="008E14A9">
          <w:rPr>
            <w:noProof/>
            <w:webHidden/>
          </w:rPr>
          <w:t>6</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496" w:history="1">
        <w:r w:rsidR="008E14A9" w:rsidRPr="00555E0D">
          <w:rPr>
            <w:rStyle w:val="Hyperlink"/>
            <w:noProof/>
          </w:rPr>
          <w:t>3.3</w:t>
        </w:r>
        <w:r w:rsidR="008E14A9">
          <w:rPr>
            <w:rFonts w:asciiTheme="minorHAnsi" w:hAnsiTheme="minorHAnsi"/>
            <w:noProof/>
            <w:sz w:val="22"/>
            <w:lang w:val="en-CA" w:eastAsia="en-CA"/>
          </w:rPr>
          <w:tab/>
        </w:r>
        <w:r w:rsidR="008E14A9" w:rsidRPr="00555E0D">
          <w:rPr>
            <w:rStyle w:val="Hyperlink"/>
            <w:noProof/>
          </w:rPr>
          <w:t>Accès à des locaux accessibles et abordables</w:t>
        </w:r>
        <w:r w:rsidR="008E14A9">
          <w:rPr>
            <w:noProof/>
            <w:webHidden/>
          </w:rPr>
          <w:tab/>
        </w:r>
        <w:r w:rsidR="008E14A9">
          <w:rPr>
            <w:noProof/>
            <w:webHidden/>
          </w:rPr>
          <w:fldChar w:fldCharType="begin"/>
        </w:r>
        <w:r w:rsidR="008E14A9">
          <w:rPr>
            <w:noProof/>
            <w:webHidden/>
          </w:rPr>
          <w:instrText xml:space="preserve"> PAGEREF _Toc26543496 \h </w:instrText>
        </w:r>
        <w:r w:rsidR="008E14A9">
          <w:rPr>
            <w:noProof/>
            <w:webHidden/>
          </w:rPr>
        </w:r>
        <w:r w:rsidR="008E14A9">
          <w:rPr>
            <w:noProof/>
            <w:webHidden/>
          </w:rPr>
          <w:fldChar w:fldCharType="separate"/>
        </w:r>
        <w:r w:rsidR="008E14A9">
          <w:rPr>
            <w:noProof/>
            <w:webHidden/>
          </w:rPr>
          <w:t>7</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497" w:history="1">
        <w:r w:rsidR="008E14A9" w:rsidRPr="00555E0D">
          <w:rPr>
            <w:rStyle w:val="Hyperlink"/>
            <w:noProof/>
          </w:rPr>
          <w:t>3.4</w:t>
        </w:r>
        <w:r w:rsidR="008E14A9">
          <w:rPr>
            <w:rFonts w:asciiTheme="minorHAnsi" w:hAnsiTheme="minorHAnsi"/>
            <w:noProof/>
            <w:sz w:val="22"/>
            <w:lang w:val="en-CA" w:eastAsia="en-CA"/>
          </w:rPr>
          <w:tab/>
        </w:r>
        <w:r w:rsidR="008E14A9" w:rsidRPr="00555E0D">
          <w:rPr>
            <w:rStyle w:val="Hyperlink"/>
            <w:noProof/>
          </w:rPr>
          <w:t>Financement des organismes communautaires</w:t>
        </w:r>
        <w:r w:rsidR="008E14A9">
          <w:rPr>
            <w:noProof/>
            <w:webHidden/>
          </w:rPr>
          <w:tab/>
        </w:r>
        <w:r w:rsidR="008E14A9">
          <w:rPr>
            <w:noProof/>
            <w:webHidden/>
          </w:rPr>
          <w:fldChar w:fldCharType="begin"/>
        </w:r>
        <w:r w:rsidR="008E14A9">
          <w:rPr>
            <w:noProof/>
            <w:webHidden/>
          </w:rPr>
          <w:instrText xml:space="preserve"> PAGEREF _Toc26543497 \h </w:instrText>
        </w:r>
        <w:r w:rsidR="008E14A9">
          <w:rPr>
            <w:noProof/>
            <w:webHidden/>
          </w:rPr>
        </w:r>
        <w:r w:rsidR="008E14A9">
          <w:rPr>
            <w:noProof/>
            <w:webHidden/>
          </w:rPr>
          <w:fldChar w:fldCharType="separate"/>
        </w:r>
        <w:r w:rsidR="008E14A9">
          <w:rPr>
            <w:noProof/>
            <w:webHidden/>
          </w:rPr>
          <w:t>8</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498" w:history="1">
        <w:r w:rsidR="008E14A9" w:rsidRPr="00555E0D">
          <w:rPr>
            <w:rStyle w:val="Hyperlink"/>
            <w:noProof/>
          </w:rPr>
          <w:t>3.5</w:t>
        </w:r>
        <w:r w:rsidR="008E14A9">
          <w:rPr>
            <w:rFonts w:asciiTheme="minorHAnsi" w:hAnsiTheme="minorHAnsi"/>
            <w:noProof/>
            <w:sz w:val="22"/>
            <w:lang w:val="en-CA" w:eastAsia="en-CA"/>
          </w:rPr>
          <w:tab/>
        </w:r>
        <w:r w:rsidR="008E14A9" w:rsidRPr="00555E0D">
          <w:rPr>
            <w:rStyle w:val="Hyperlink"/>
            <w:noProof/>
          </w:rPr>
          <w:t>Recrutement et rétention du personnel</w:t>
        </w:r>
        <w:r w:rsidR="008E14A9">
          <w:rPr>
            <w:noProof/>
            <w:webHidden/>
          </w:rPr>
          <w:tab/>
        </w:r>
        <w:r w:rsidR="008E14A9">
          <w:rPr>
            <w:noProof/>
            <w:webHidden/>
          </w:rPr>
          <w:fldChar w:fldCharType="begin"/>
        </w:r>
        <w:r w:rsidR="008E14A9">
          <w:rPr>
            <w:noProof/>
            <w:webHidden/>
          </w:rPr>
          <w:instrText xml:space="preserve"> PAGEREF _Toc26543498 \h </w:instrText>
        </w:r>
        <w:r w:rsidR="008E14A9">
          <w:rPr>
            <w:noProof/>
            <w:webHidden/>
          </w:rPr>
        </w:r>
        <w:r w:rsidR="008E14A9">
          <w:rPr>
            <w:noProof/>
            <w:webHidden/>
          </w:rPr>
          <w:fldChar w:fldCharType="separate"/>
        </w:r>
        <w:r w:rsidR="008E14A9">
          <w:rPr>
            <w:noProof/>
            <w:webHidden/>
          </w:rPr>
          <w:t>9</w:t>
        </w:r>
        <w:r w:rsidR="008E14A9">
          <w:rPr>
            <w:noProof/>
            <w:webHidden/>
          </w:rPr>
          <w:fldChar w:fldCharType="end"/>
        </w:r>
      </w:hyperlink>
    </w:p>
    <w:p w:rsidR="008E14A9" w:rsidRDefault="002A669F">
      <w:pPr>
        <w:pStyle w:val="TOC1"/>
        <w:tabs>
          <w:tab w:val="left" w:pos="440"/>
          <w:tab w:val="right" w:leader="dot" w:pos="9350"/>
        </w:tabs>
        <w:rPr>
          <w:rFonts w:asciiTheme="minorHAnsi" w:hAnsiTheme="minorHAnsi"/>
          <w:noProof/>
          <w:sz w:val="22"/>
          <w:lang w:val="en-CA" w:eastAsia="en-CA"/>
        </w:rPr>
      </w:pPr>
      <w:hyperlink w:anchor="_Toc26543499" w:history="1">
        <w:r w:rsidR="008E14A9" w:rsidRPr="00555E0D">
          <w:rPr>
            <w:rStyle w:val="Hyperlink"/>
            <w:noProof/>
          </w:rPr>
          <w:t>4</w:t>
        </w:r>
        <w:r w:rsidR="008E14A9">
          <w:rPr>
            <w:rFonts w:asciiTheme="minorHAnsi" w:hAnsiTheme="minorHAnsi"/>
            <w:noProof/>
            <w:sz w:val="22"/>
            <w:lang w:val="en-CA" w:eastAsia="en-CA"/>
          </w:rPr>
          <w:tab/>
        </w:r>
        <w:r w:rsidR="008E14A9" w:rsidRPr="00555E0D">
          <w:rPr>
            <w:rStyle w:val="Hyperlink"/>
            <w:noProof/>
          </w:rPr>
          <w:t>Thématique 2 - La cohérence de l’intervention gouvernementale</w:t>
        </w:r>
        <w:r w:rsidR="008E14A9">
          <w:rPr>
            <w:noProof/>
            <w:webHidden/>
          </w:rPr>
          <w:tab/>
        </w:r>
        <w:r w:rsidR="008E14A9">
          <w:rPr>
            <w:noProof/>
            <w:webHidden/>
          </w:rPr>
          <w:fldChar w:fldCharType="begin"/>
        </w:r>
        <w:r w:rsidR="008E14A9">
          <w:rPr>
            <w:noProof/>
            <w:webHidden/>
          </w:rPr>
          <w:instrText xml:space="preserve"> PAGEREF _Toc26543499 \h </w:instrText>
        </w:r>
        <w:r w:rsidR="008E14A9">
          <w:rPr>
            <w:noProof/>
            <w:webHidden/>
          </w:rPr>
        </w:r>
        <w:r w:rsidR="008E14A9">
          <w:rPr>
            <w:noProof/>
            <w:webHidden/>
          </w:rPr>
          <w:fldChar w:fldCharType="separate"/>
        </w:r>
        <w:r w:rsidR="008E14A9">
          <w:rPr>
            <w:noProof/>
            <w:webHidden/>
          </w:rPr>
          <w:t>10</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500" w:history="1">
        <w:r w:rsidR="008E14A9" w:rsidRPr="00555E0D">
          <w:rPr>
            <w:rStyle w:val="Hyperlink"/>
            <w:noProof/>
          </w:rPr>
          <w:t>4.1</w:t>
        </w:r>
        <w:r w:rsidR="008E14A9">
          <w:rPr>
            <w:rFonts w:asciiTheme="minorHAnsi" w:hAnsiTheme="minorHAnsi"/>
            <w:noProof/>
            <w:sz w:val="22"/>
            <w:lang w:val="en-CA" w:eastAsia="en-CA"/>
          </w:rPr>
          <w:tab/>
        </w:r>
        <w:r w:rsidR="008E14A9" w:rsidRPr="00555E0D">
          <w:rPr>
            <w:rStyle w:val="Hyperlink"/>
            <w:noProof/>
          </w:rPr>
          <w:t>Respect des lois et politiques en vigueur</w:t>
        </w:r>
        <w:r w:rsidR="008E14A9">
          <w:rPr>
            <w:noProof/>
            <w:webHidden/>
          </w:rPr>
          <w:tab/>
        </w:r>
        <w:r w:rsidR="008E14A9">
          <w:rPr>
            <w:noProof/>
            <w:webHidden/>
          </w:rPr>
          <w:fldChar w:fldCharType="begin"/>
        </w:r>
        <w:r w:rsidR="008E14A9">
          <w:rPr>
            <w:noProof/>
            <w:webHidden/>
          </w:rPr>
          <w:instrText xml:space="preserve"> PAGEREF _Toc26543500 \h </w:instrText>
        </w:r>
        <w:r w:rsidR="008E14A9">
          <w:rPr>
            <w:noProof/>
            <w:webHidden/>
          </w:rPr>
        </w:r>
        <w:r w:rsidR="008E14A9">
          <w:rPr>
            <w:noProof/>
            <w:webHidden/>
          </w:rPr>
          <w:fldChar w:fldCharType="separate"/>
        </w:r>
        <w:r w:rsidR="008E14A9">
          <w:rPr>
            <w:noProof/>
            <w:webHidden/>
          </w:rPr>
          <w:t>10</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501" w:history="1">
        <w:r w:rsidR="008E14A9" w:rsidRPr="00555E0D">
          <w:rPr>
            <w:rStyle w:val="Hyperlink"/>
            <w:noProof/>
          </w:rPr>
          <w:t>4.2</w:t>
        </w:r>
        <w:r w:rsidR="008E14A9">
          <w:rPr>
            <w:rFonts w:asciiTheme="minorHAnsi" w:hAnsiTheme="minorHAnsi"/>
            <w:noProof/>
            <w:sz w:val="22"/>
            <w:lang w:val="en-CA" w:eastAsia="en-CA"/>
          </w:rPr>
          <w:tab/>
        </w:r>
        <w:r w:rsidR="008E14A9" w:rsidRPr="00555E0D">
          <w:rPr>
            <w:rStyle w:val="Hyperlink"/>
            <w:noProof/>
          </w:rPr>
          <w:t>Accès aux programmes de financement à portée intersectionnelle</w:t>
        </w:r>
        <w:r w:rsidR="008E14A9">
          <w:rPr>
            <w:noProof/>
            <w:webHidden/>
          </w:rPr>
          <w:tab/>
        </w:r>
        <w:r w:rsidR="008E14A9">
          <w:rPr>
            <w:noProof/>
            <w:webHidden/>
          </w:rPr>
          <w:fldChar w:fldCharType="begin"/>
        </w:r>
        <w:r w:rsidR="008E14A9">
          <w:rPr>
            <w:noProof/>
            <w:webHidden/>
          </w:rPr>
          <w:instrText xml:space="preserve"> PAGEREF _Toc26543501 \h </w:instrText>
        </w:r>
        <w:r w:rsidR="008E14A9">
          <w:rPr>
            <w:noProof/>
            <w:webHidden/>
          </w:rPr>
        </w:r>
        <w:r w:rsidR="008E14A9">
          <w:rPr>
            <w:noProof/>
            <w:webHidden/>
          </w:rPr>
          <w:fldChar w:fldCharType="separate"/>
        </w:r>
        <w:r w:rsidR="008E14A9">
          <w:rPr>
            <w:noProof/>
            <w:webHidden/>
          </w:rPr>
          <w:t>12</w:t>
        </w:r>
        <w:r w:rsidR="008E14A9">
          <w:rPr>
            <w:noProof/>
            <w:webHidden/>
          </w:rPr>
          <w:fldChar w:fldCharType="end"/>
        </w:r>
      </w:hyperlink>
    </w:p>
    <w:p w:rsidR="008E14A9" w:rsidRDefault="002A669F">
      <w:pPr>
        <w:pStyle w:val="TOC1"/>
        <w:tabs>
          <w:tab w:val="left" w:pos="440"/>
          <w:tab w:val="right" w:leader="dot" w:pos="9350"/>
        </w:tabs>
        <w:rPr>
          <w:rFonts w:asciiTheme="minorHAnsi" w:hAnsiTheme="minorHAnsi"/>
          <w:noProof/>
          <w:sz w:val="22"/>
          <w:lang w:val="en-CA" w:eastAsia="en-CA"/>
        </w:rPr>
      </w:pPr>
      <w:hyperlink w:anchor="_Toc26543502" w:history="1">
        <w:r w:rsidR="008E14A9" w:rsidRPr="00555E0D">
          <w:rPr>
            <w:rStyle w:val="Hyperlink"/>
            <w:noProof/>
          </w:rPr>
          <w:t>5</w:t>
        </w:r>
        <w:r w:rsidR="008E14A9">
          <w:rPr>
            <w:rFonts w:asciiTheme="minorHAnsi" w:hAnsiTheme="minorHAnsi"/>
            <w:noProof/>
            <w:sz w:val="22"/>
            <w:lang w:val="en-CA" w:eastAsia="en-CA"/>
          </w:rPr>
          <w:tab/>
        </w:r>
        <w:r w:rsidR="008E14A9" w:rsidRPr="00555E0D">
          <w:rPr>
            <w:rStyle w:val="Hyperlink"/>
            <w:noProof/>
          </w:rPr>
          <w:t>Thématique 3 – La valorisation et la promotion de l’action communautaire</w:t>
        </w:r>
        <w:r w:rsidR="008E14A9">
          <w:rPr>
            <w:noProof/>
            <w:webHidden/>
          </w:rPr>
          <w:tab/>
        </w:r>
        <w:r w:rsidR="008E14A9">
          <w:rPr>
            <w:noProof/>
            <w:webHidden/>
          </w:rPr>
          <w:fldChar w:fldCharType="begin"/>
        </w:r>
        <w:r w:rsidR="008E14A9">
          <w:rPr>
            <w:noProof/>
            <w:webHidden/>
          </w:rPr>
          <w:instrText xml:space="preserve"> PAGEREF _Toc26543502 \h </w:instrText>
        </w:r>
        <w:r w:rsidR="008E14A9">
          <w:rPr>
            <w:noProof/>
            <w:webHidden/>
          </w:rPr>
        </w:r>
        <w:r w:rsidR="008E14A9">
          <w:rPr>
            <w:noProof/>
            <w:webHidden/>
          </w:rPr>
          <w:fldChar w:fldCharType="separate"/>
        </w:r>
        <w:r w:rsidR="008E14A9">
          <w:rPr>
            <w:noProof/>
            <w:webHidden/>
          </w:rPr>
          <w:t>13</w:t>
        </w:r>
        <w:r w:rsidR="008E14A9">
          <w:rPr>
            <w:noProof/>
            <w:webHidden/>
          </w:rPr>
          <w:fldChar w:fldCharType="end"/>
        </w:r>
      </w:hyperlink>
    </w:p>
    <w:p w:rsidR="008E14A9" w:rsidRDefault="002A669F">
      <w:pPr>
        <w:pStyle w:val="TOC2"/>
        <w:tabs>
          <w:tab w:val="left" w:pos="880"/>
          <w:tab w:val="right" w:leader="dot" w:pos="9350"/>
        </w:tabs>
        <w:rPr>
          <w:rFonts w:asciiTheme="minorHAnsi" w:hAnsiTheme="minorHAnsi"/>
          <w:noProof/>
          <w:sz w:val="22"/>
          <w:lang w:val="en-CA" w:eastAsia="en-CA"/>
        </w:rPr>
      </w:pPr>
      <w:hyperlink w:anchor="_Toc26543503" w:history="1">
        <w:r w:rsidR="008E14A9" w:rsidRPr="00555E0D">
          <w:rPr>
            <w:rStyle w:val="Hyperlink"/>
            <w:noProof/>
          </w:rPr>
          <w:t>5.1</w:t>
        </w:r>
        <w:r w:rsidR="008E14A9">
          <w:rPr>
            <w:rFonts w:asciiTheme="minorHAnsi" w:hAnsiTheme="minorHAnsi"/>
            <w:noProof/>
            <w:sz w:val="22"/>
            <w:lang w:val="en-CA" w:eastAsia="en-CA"/>
          </w:rPr>
          <w:tab/>
        </w:r>
        <w:r w:rsidR="008E14A9" w:rsidRPr="00555E0D">
          <w:rPr>
            <w:rStyle w:val="Hyperlink"/>
            <w:noProof/>
          </w:rPr>
          <w:t>Valorisation de l’expertise des organismes communautaires</w:t>
        </w:r>
        <w:r w:rsidR="008E14A9">
          <w:rPr>
            <w:noProof/>
            <w:webHidden/>
          </w:rPr>
          <w:tab/>
        </w:r>
        <w:r w:rsidR="008E14A9">
          <w:rPr>
            <w:noProof/>
            <w:webHidden/>
          </w:rPr>
          <w:fldChar w:fldCharType="begin"/>
        </w:r>
        <w:r w:rsidR="008E14A9">
          <w:rPr>
            <w:noProof/>
            <w:webHidden/>
          </w:rPr>
          <w:instrText xml:space="preserve"> PAGEREF _Toc26543503 \h </w:instrText>
        </w:r>
        <w:r w:rsidR="008E14A9">
          <w:rPr>
            <w:noProof/>
            <w:webHidden/>
          </w:rPr>
        </w:r>
        <w:r w:rsidR="008E14A9">
          <w:rPr>
            <w:noProof/>
            <w:webHidden/>
          </w:rPr>
          <w:fldChar w:fldCharType="separate"/>
        </w:r>
        <w:r w:rsidR="008E14A9">
          <w:rPr>
            <w:noProof/>
            <w:webHidden/>
          </w:rPr>
          <w:t>13</w:t>
        </w:r>
        <w:r w:rsidR="008E14A9">
          <w:rPr>
            <w:noProof/>
            <w:webHidden/>
          </w:rPr>
          <w:fldChar w:fldCharType="end"/>
        </w:r>
      </w:hyperlink>
    </w:p>
    <w:p w:rsidR="008E14A9" w:rsidRDefault="002A669F">
      <w:pPr>
        <w:pStyle w:val="TOC1"/>
        <w:tabs>
          <w:tab w:val="left" w:pos="440"/>
          <w:tab w:val="right" w:leader="dot" w:pos="9350"/>
        </w:tabs>
        <w:rPr>
          <w:rFonts w:asciiTheme="minorHAnsi" w:hAnsiTheme="minorHAnsi"/>
          <w:noProof/>
          <w:sz w:val="22"/>
          <w:lang w:val="en-CA" w:eastAsia="en-CA"/>
        </w:rPr>
      </w:pPr>
      <w:hyperlink w:anchor="_Toc26543504" w:history="1">
        <w:r w:rsidR="008E14A9" w:rsidRPr="00555E0D">
          <w:rPr>
            <w:rStyle w:val="Hyperlink"/>
            <w:noProof/>
          </w:rPr>
          <w:t>6</w:t>
        </w:r>
        <w:r w:rsidR="008E14A9">
          <w:rPr>
            <w:rFonts w:asciiTheme="minorHAnsi" w:hAnsiTheme="minorHAnsi"/>
            <w:noProof/>
            <w:sz w:val="22"/>
            <w:lang w:val="en-CA" w:eastAsia="en-CA"/>
          </w:rPr>
          <w:tab/>
        </w:r>
        <w:r w:rsidR="008E14A9" w:rsidRPr="00555E0D">
          <w:rPr>
            <w:rStyle w:val="Hyperlink"/>
            <w:noProof/>
          </w:rPr>
          <w:t>Conclusion</w:t>
        </w:r>
        <w:r w:rsidR="008E14A9">
          <w:rPr>
            <w:noProof/>
            <w:webHidden/>
          </w:rPr>
          <w:tab/>
        </w:r>
        <w:r w:rsidR="008E14A9">
          <w:rPr>
            <w:noProof/>
            <w:webHidden/>
          </w:rPr>
          <w:fldChar w:fldCharType="begin"/>
        </w:r>
        <w:r w:rsidR="008E14A9">
          <w:rPr>
            <w:noProof/>
            <w:webHidden/>
          </w:rPr>
          <w:instrText xml:space="preserve"> PAGEREF _Toc26543504 \h </w:instrText>
        </w:r>
        <w:r w:rsidR="008E14A9">
          <w:rPr>
            <w:noProof/>
            <w:webHidden/>
          </w:rPr>
        </w:r>
        <w:r w:rsidR="008E14A9">
          <w:rPr>
            <w:noProof/>
            <w:webHidden/>
          </w:rPr>
          <w:fldChar w:fldCharType="separate"/>
        </w:r>
        <w:r w:rsidR="008E14A9">
          <w:rPr>
            <w:noProof/>
            <w:webHidden/>
          </w:rPr>
          <w:t>14</w:t>
        </w:r>
        <w:r w:rsidR="008E14A9">
          <w:rPr>
            <w:noProof/>
            <w:webHidden/>
          </w:rPr>
          <w:fldChar w:fldCharType="end"/>
        </w:r>
      </w:hyperlink>
    </w:p>
    <w:p w:rsidR="008E14A9" w:rsidRDefault="002A669F">
      <w:pPr>
        <w:pStyle w:val="TOC1"/>
        <w:tabs>
          <w:tab w:val="right" w:leader="dot" w:pos="9350"/>
        </w:tabs>
        <w:rPr>
          <w:rFonts w:asciiTheme="minorHAnsi" w:hAnsiTheme="minorHAnsi"/>
          <w:noProof/>
          <w:sz w:val="22"/>
          <w:lang w:val="en-CA" w:eastAsia="en-CA"/>
        </w:rPr>
      </w:pPr>
      <w:hyperlink w:anchor="_Toc26543505" w:history="1">
        <w:r w:rsidR="008E14A9" w:rsidRPr="00555E0D">
          <w:rPr>
            <w:rStyle w:val="Hyperlink"/>
            <w:noProof/>
          </w:rPr>
          <w:t>Annexe : Liste des recommandations</w:t>
        </w:r>
        <w:r w:rsidR="008E14A9">
          <w:rPr>
            <w:noProof/>
            <w:webHidden/>
          </w:rPr>
          <w:tab/>
        </w:r>
        <w:r w:rsidR="008E14A9">
          <w:rPr>
            <w:noProof/>
            <w:webHidden/>
          </w:rPr>
          <w:fldChar w:fldCharType="begin"/>
        </w:r>
        <w:r w:rsidR="008E14A9">
          <w:rPr>
            <w:noProof/>
            <w:webHidden/>
          </w:rPr>
          <w:instrText xml:space="preserve"> PAGEREF _Toc26543505 \h </w:instrText>
        </w:r>
        <w:r w:rsidR="008E14A9">
          <w:rPr>
            <w:noProof/>
            <w:webHidden/>
          </w:rPr>
        </w:r>
        <w:r w:rsidR="008E14A9">
          <w:rPr>
            <w:noProof/>
            <w:webHidden/>
          </w:rPr>
          <w:fldChar w:fldCharType="separate"/>
        </w:r>
        <w:r w:rsidR="008E14A9">
          <w:rPr>
            <w:noProof/>
            <w:webHidden/>
          </w:rPr>
          <w:t>15</w:t>
        </w:r>
        <w:r w:rsidR="008E14A9">
          <w:rPr>
            <w:noProof/>
            <w:webHidden/>
          </w:rPr>
          <w:fldChar w:fldCharType="end"/>
        </w:r>
      </w:hyperlink>
    </w:p>
    <w:p w:rsidR="00D03041" w:rsidRPr="00507D1D" w:rsidRDefault="00F84B0A" w:rsidP="00507D1D">
      <w:r w:rsidRPr="00507D1D">
        <w:fldChar w:fldCharType="end"/>
      </w:r>
    </w:p>
    <w:p w:rsidR="008E57EA" w:rsidRPr="00507D1D" w:rsidRDefault="00D03041" w:rsidP="00507D1D">
      <w:r w:rsidRPr="00507D1D">
        <w:t xml:space="preserve"> </w:t>
      </w:r>
      <w:r w:rsidR="007129FB" w:rsidRPr="00507D1D">
        <w:br w:type="page"/>
      </w:r>
    </w:p>
    <w:p w:rsidR="00636145" w:rsidRDefault="00FD4404" w:rsidP="008420EF">
      <w:pPr>
        <w:pStyle w:val="Heading1"/>
      </w:pPr>
      <w:bookmarkStart w:id="11" w:name="_Toc26543491"/>
      <w:r>
        <w:lastRenderedPageBreak/>
        <w:t>À propos de DéPhy Montréal</w:t>
      </w:r>
      <w:bookmarkEnd w:id="11"/>
    </w:p>
    <w:p w:rsidR="00DF2B87" w:rsidRDefault="00CC65B2" w:rsidP="00CC65B2">
      <w:r w:rsidRPr="003C0BEA">
        <w:t xml:space="preserve">Fondé en 1985, DéPhy Montréal rassemble 50 organismes communautaires </w:t>
      </w:r>
      <w:r>
        <w:t xml:space="preserve">engagés dans </w:t>
      </w:r>
      <w:r w:rsidRPr="000A694B">
        <w:t xml:space="preserve">la défense des droits, la promotion des intérêts et l’amélioration des conditions de vie </w:t>
      </w:r>
      <w:r w:rsidRPr="003C0BEA">
        <w:t>des personnes ayant une déficience physique</w:t>
      </w:r>
      <w:r w:rsidR="00DB31EB">
        <w:t>,</w:t>
      </w:r>
      <w:r>
        <w:t xml:space="preserve"> </w:t>
      </w:r>
      <w:r w:rsidRPr="003C0BEA">
        <w:t xml:space="preserve">sur l’île de Montréal. </w:t>
      </w:r>
    </w:p>
    <w:p w:rsidR="00CC65B2" w:rsidRPr="00CD504B" w:rsidRDefault="00CC65B2" w:rsidP="00CC65B2">
      <w:r>
        <w:t>La dé</w:t>
      </w:r>
      <w:r w:rsidRPr="00262A0D">
        <w:t>ficience physique</w:t>
      </w:r>
      <w:r>
        <w:t xml:space="preserve"> comprend </w:t>
      </w:r>
      <w:r w:rsidR="00C05D1A">
        <w:t>les</w:t>
      </w:r>
      <w:r w:rsidRPr="00262A0D">
        <w:t xml:space="preserve"> déficience</w:t>
      </w:r>
      <w:r w:rsidR="00C05D1A">
        <w:t>s</w:t>
      </w:r>
      <w:r w:rsidRPr="00262A0D">
        <w:t xml:space="preserve"> motrice, visuelle et auditive, les troubles du langage et de la parole, ainsi que les déficiences organiques et neurologiques. </w:t>
      </w:r>
    </w:p>
    <w:p w:rsidR="00DF2B87" w:rsidRPr="00FE43AB" w:rsidRDefault="00DF2B87" w:rsidP="00DF2B87">
      <w:r>
        <w:t xml:space="preserve">La </w:t>
      </w:r>
      <w:r w:rsidRPr="00FE43AB">
        <w:t xml:space="preserve">mission </w:t>
      </w:r>
      <w:r>
        <w:t xml:space="preserve">de DéPhy Montréal est </w:t>
      </w:r>
      <w:r w:rsidRPr="00FE43AB">
        <w:t xml:space="preserve">de promouvoir les intérêts communs de ses groupes membres, </w:t>
      </w:r>
      <w:r w:rsidRPr="00EB61A1">
        <w:t>de les appuyer dans la défense des droits des personnes ayant une déficience physique</w:t>
      </w:r>
      <w:r w:rsidR="00DB31EB">
        <w:t>,</w:t>
      </w:r>
      <w:r w:rsidRPr="00EB61A1">
        <w:t xml:space="preserve"> afin d’améliorer leur qualité de vie, celle de leur famille et de leurs proches</w:t>
      </w:r>
      <w:r w:rsidRPr="00FE43AB">
        <w:t xml:space="preserve">, et de favoriser la concertation, la mobilisation, les échanges d’expertise et leur développement comme organismes communautaires. </w:t>
      </w:r>
    </w:p>
    <w:p w:rsidR="00DF2B87" w:rsidRDefault="00653DBA" w:rsidP="00653DBA">
      <w:pPr>
        <w:pStyle w:val="Heading1"/>
      </w:pPr>
      <w:bookmarkStart w:id="12" w:name="_Toc26543492"/>
      <w:r>
        <w:t>Introduction</w:t>
      </w:r>
      <w:bookmarkEnd w:id="12"/>
    </w:p>
    <w:p w:rsidR="00D94AE9" w:rsidRDefault="00653DBA" w:rsidP="00653DBA">
      <w:pPr>
        <w:rPr>
          <w:rFonts w:cs="Arial"/>
          <w:szCs w:val="24"/>
        </w:rPr>
      </w:pPr>
      <w:r>
        <w:rPr>
          <w:rFonts w:cs="Arial"/>
          <w:szCs w:val="24"/>
        </w:rPr>
        <w:t>En mai 2019, l</w:t>
      </w:r>
      <w:r w:rsidR="00C05D1A">
        <w:rPr>
          <w:rFonts w:cs="Arial"/>
          <w:szCs w:val="24"/>
        </w:rPr>
        <w:t>e m</w:t>
      </w:r>
      <w:r w:rsidRPr="0046364E">
        <w:rPr>
          <w:rFonts w:cs="Arial"/>
          <w:szCs w:val="24"/>
        </w:rPr>
        <w:t xml:space="preserve">inistère du Travail, de l’Emploi et de la Solidarité </w:t>
      </w:r>
      <w:r>
        <w:rPr>
          <w:rFonts w:cs="Arial"/>
          <w:szCs w:val="24"/>
        </w:rPr>
        <w:t xml:space="preserve">sociale (MTESS) </w:t>
      </w:r>
      <w:r w:rsidRPr="0046364E">
        <w:rPr>
          <w:rFonts w:cs="Arial"/>
          <w:szCs w:val="24"/>
        </w:rPr>
        <w:t xml:space="preserve">a lancé </w:t>
      </w:r>
      <w:r w:rsidR="00D94AE9">
        <w:rPr>
          <w:rFonts w:cs="Arial"/>
          <w:szCs w:val="24"/>
        </w:rPr>
        <w:t xml:space="preserve">une </w:t>
      </w:r>
      <w:r w:rsidRPr="0046364E">
        <w:rPr>
          <w:rFonts w:cs="Arial"/>
          <w:szCs w:val="24"/>
        </w:rPr>
        <w:t xml:space="preserve">consultation </w:t>
      </w:r>
      <w:r w:rsidR="00D94AE9">
        <w:rPr>
          <w:rFonts w:cs="Arial"/>
          <w:szCs w:val="24"/>
        </w:rPr>
        <w:t xml:space="preserve">dans le cadre </w:t>
      </w:r>
      <w:r w:rsidRPr="0046364E">
        <w:rPr>
          <w:rFonts w:cs="Arial"/>
          <w:szCs w:val="24"/>
        </w:rPr>
        <w:t xml:space="preserve">de l’élaboration </w:t>
      </w:r>
      <w:r w:rsidR="00D94AE9">
        <w:rPr>
          <w:rFonts w:cs="Arial"/>
          <w:szCs w:val="24"/>
        </w:rPr>
        <w:t xml:space="preserve">de son </w:t>
      </w:r>
      <w:r>
        <w:rPr>
          <w:rFonts w:cs="Arial"/>
          <w:szCs w:val="24"/>
        </w:rPr>
        <w:t>second P</w:t>
      </w:r>
      <w:r w:rsidRPr="0046364E">
        <w:rPr>
          <w:rFonts w:cs="Arial"/>
          <w:szCs w:val="24"/>
        </w:rPr>
        <w:t>lan d’action gouvernemental en matière d’action communautaire</w:t>
      </w:r>
      <w:r>
        <w:rPr>
          <w:rFonts w:cs="Arial"/>
          <w:szCs w:val="24"/>
        </w:rPr>
        <w:t xml:space="preserve"> (PAGAC)</w:t>
      </w:r>
      <w:r w:rsidRPr="0046364E">
        <w:rPr>
          <w:rFonts w:cs="Arial"/>
          <w:szCs w:val="24"/>
        </w:rPr>
        <w:t xml:space="preserve">. </w:t>
      </w:r>
    </w:p>
    <w:p w:rsidR="00612057" w:rsidRDefault="00F66516" w:rsidP="00860C72">
      <w:r>
        <w:t>D</w:t>
      </w:r>
      <w:r w:rsidR="00D94AE9">
        <w:t>ans l</w:t>
      </w:r>
      <w:r w:rsidR="00DF2B87">
        <w:t xml:space="preserve">e présent </w:t>
      </w:r>
      <w:r w:rsidR="005F4D30">
        <w:t>mémoire</w:t>
      </w:r>
      <w:r w:rsidR="00612057">
        <w:t xml:space="preserve">, nous </w:t>
      </w:r>
      <w:r w:rsidR="00C16F52">
        <w:t>présenterons</w:t>
      </w:r>
      <w:r w:rsidR="00AF65BB">
        <w:t>, par ordre de priorité,</w:t>
      </w:r>
      <w:r w:rsidR="00C16F52">
        <w:t xml:space="preserve"> </w:t>
      </w:r>
      <w:r w:rsidR="00612057">
        <w:t xml:space="preserve">différents enjeux </w:t>
      </w:r>
      <w:r w:rsidR="00C16F52">
        <w:t>propres aux or</w:t>
      </w:r>
      <w:r w:rsidR="00BF4930">
        <w:t>ganismes communautaire</w:t>
      </w:r>
      <w:r w:rsidR="00E0614C">
        <w:t>s</w:t>
      </w:r>
      <w:r w:rsidR="00BF4930">
        <w:t xml:space="preserve"> </w:t>
      </w:r>
      <w:r w:rsidR="00E0614C">
        <w:t xml:space="preserve">de </w:t>
      </w:r>
      <w:r w:rsidR="00C16F52">
        <w:t>personnes ayant des limitations fonctionnelles</w:t>
      </w:r>
      <w:r w:rsidR="00AB3427">
        <w:t xml:space="preserve">, </w:t>
      </w:r>
      <w:r w:rsidR="00E0614C">
        <w:t xml:space="preserve">notamment </w:t>
      </w:r>
      <w:r w:rsidR="00860C72">
        <w:t xml:space="preserve">dans un contexte </w:t>
      </w:r>
      <w:r w:rsidR="009F41CD">
        <w:t>montréalais</w:t>
      </w:r>
      <w:r w:rsidR="0057144F">
        <w:t>. De plus, n</w:t>
      </w:r>
      <w:r w:rsidR="00C16F52">
        <w:t xml:space="preserve">ous formulerons </w:t>
      </w:r>
      <w:r w:rsidR="00AE1191">
        <w:t xml:space="preserve">diverses </w:t>
      </w:r>
      <w:r w:rsidR="00C16F52">
        <w:t>recommandations</w:t>
      </w:r>
      <w:r w:rsidR="0057144F">
        <w:t xml:space="preserve"> </w:t>
      </w:r>
      <w:r w:rsidR="00226392">
        <w:t xml:space="preserve">visant à </w:t>
      </w:r>
      <w:r w:rsidR="00024CA9">
        <w:t>favoriser l’inclusion</w:t>
      </w:r>
      <w:r w:rsidR="0044504F">
        <w:t xml:space="preserve"> et la participation sociale des personnes ayant des limitations fonctionnelles, notamment </w:t>
      </w:r>
      <w:r w:rsidR="00024CA9">
        <w:t xml:space="preserve">par le travail, par l’implication bénévole ou par la </w:t>
      </w:r>
      <w:r w:rsidR="0044504F">
        <w:t xml:space="preserve">participation à la vie associative des organismes </w:t>
      </w:r>
      <w:r w:rsidR="00860C72">
        <w:t xml:space="preserve">engagés dans </w:t>
      </w:r>
      <w:r w:rsidR="00860C72" w:rsidRPr="000A694B">
        <w:t xml:space="preserve">la défense des droits, la promotion des intérêts et l’amélioration des conditions de vie </w:t>
      </w:r>
      <w:r w:rsidR="00860C72" w:rsidRPr="003C0BEA">
        <w:t>de</w:t>
      </w:r>
      <w:r w:rsidR="00860C72">
        <w:t xml:space="preserve"> ce</w:t>
      </w:r>
      <w:r w:rsidR="00860C72" w:rsidRPr="003C0BEA">
        <w:t>s personnes</w:t>
      </w:r>
      <w:r w:rsidR="00860C72">
        <w:t xml:space="preserve">. </w:t>
      </w:r>
    </w:p>
    <w:p w:rsidR="00F66516" w:rsidRDefault="00F66516" w:rsidP="00F66516">
      <w:r>
        <w:t>De nombreux enjeux et recommandations plus</w:t>
      </w:r>
      <w:r w:rsidR="00A9361F">
        <w:t xml:space="preserve"> larges,</w:t>
      </w:r>
      <w:r>
        <w:t xml:space="preserve"> portés par des regroupements nationaux comme le Réseau québécois de l’action communautaire autonome (RQ-ACA) </w:t>
      </w:r>
      <w:r w:rsidR="00A13F79">
        <w:t xml:space="preserve">et </w:t>
      </w:r>
      <w:r>
        <w:t>la Confédération des organismes de personnes handicapées du Québec (COPHAN)</w:t>
      </w:r>
      <w:r w:rsidR="00A13F79">
        <w:t xml:space="preserve">, ou régionaux, comme le Regroupement intersectoriel des organismes communautaires de Montréal (RIOCM), sont </w:t>
      </w:r>
      <w:r>
        <w:t xml:space="preserve">traités dans les mémoires présentés par ces organismes, aussi, nous ne les </w:t>
      </w:r>
      <w:r w:rsidR="00A9361F">
        <w:t xml:space="preserve">aborderons </w:t>
      </w:r>
      <w:r>
        <w:t xml:space="preserve">pas </w:t>
      </w:r>
      <w:r w:rsidR="00A9361F">
        <w:t xml:space="preserve">dans ce document. </w:t>
      </w:r>
    </w:p>
    <w:p w:rsidR="008E6476" w:rsidRDefault="008E6476" w:rsidP="008E6476">
      <w:pPr>
        <w:pStyle w:val="Heading1"/>
      </w:pPr>
      <w:bookmarkStart w:id="13" w:name="_Toc26543493"/>
      <w:r>
        <w:lastRenderedPageBreak/>
        <w:t>Thématique 1 </w:t>
      </w:r>
      <w:r w:rsidR="00DD753C">
        <w:t>-</w:t>
      </w:r>
      <w:r>
        <w:t xml:space="preserve"> la consolidation et le développement de l’action communautaire autonome</w:t>
      </w:r>
      <w:bookmarkEnd w:id="13"/>
    </w:p>
    <w:p w:rsidR="00795478" w:rsidRDefault="00795478" w:rsidP="008E6476">
      <w:pPr>
        <w:pStyle w:val="Heading2"/>
      </w:pPr>
      <w:bookmarkStart w:id="14" w:name="_Toc26543494"/>
      <w:r>
        <w:t>Participation des personnes ayant des limitations fonctionnelles à la vie associative des organismes communautaire</w:t>
      </w:r>
      <w:r w:rsidR="00934A23">
        <w:t>s</w:t>
      </w:r>
      <w:bookmarkEnd w:id="14"/>
      <w:r>
        <w:t xml:space="preserve"> </w:t>
      </w:r>
    </w:p>
    <w:p w:rsidR="009801B5" w:rsidRDefault="00277387" w:rsidP="00277387">
      <w:pPr>
        <w:rPr>
          <w:rFonts w:cs="Arial"/>
          <w:szCs w:val="24"/>
        </w:rPr>
      </w:pPr>
      <w:r>
        <w:rPr>
          <w:rFonts w:cs="Arial"/>
          <w:szCs w:val="24"/>
        </w:rPr>
        <w:t xml:space="preserve">En 2017, </w:t>
      </w:r>
      <w:r w:rsidRPr="0046364E">
        <w:rPr>
          <w:rFonts w:cs="Arial"/>
          <w:szCs w:val="24"/>
        </w:rPr>
        <w:t xml:space="preserve">l’Institut de recherche et d’informations socio-économiques (IRIS) </w:t>
      </w:r>
      <w:r w:rsidR="00641726">
        <w:rPr>
          <w:rFonts w:cs="Arial"/>
          <w:szCs w:val="24"/>
        </w:rPr>
        <w:t xml:space="preserve">a réalisé une étude intitulée </w:t>
      </w:r>
      <w:r w:rsidRPr="0046364E">
        <w:rPr>
          <w:rFonts w:cs="Arial"/>
          <w:szCs w:val="24"/>
        </w:rPr>
        <w:t>« </w:t>
      </w:r>
      <w:hyperlink r:id="rId10" w:history="1">
        <w:r w:rsidRPr="009801B5">
          <w:rPr>
            <w:rStyle w:val="Hyperlink"/>
            <w:rFonts w:cs="Arial"/>
            <w:szCs w:val="24"/>
          </w:rPr>
          <w:t>L’accès à la vie associative pour les personnes en situation de handicap dans le mouvement de l’action communautaire autonome : Pratiques et besoins pour un accès non discriminatoire</w:t>
        </w:r>
      </w:hyperlink>
      <w:r w:rsidRPr="0046364E">
        <w:rPr>
          <w:rFonts w:cs="Arial"/>
          <w:szCs w:val="24"/>
        </w:rPr>
        <w:t> »</w:t>
      </w:r>
      <w:r w:rsidR="009801B5">
        <w:rPr>
          <w:rFonts w:cs="Arial"/>
          <w:szCs w:val="24"/>
        </w:rPr>
        <w:t xml:space="preserve">. </w:t>
      </w:r>
    </w:p>
    <w:p w:rsidR="00CB6625" w:rsidRDefault="009801B5" w:rsidP="00277387">
      <w:pPr>
        <w:rPr>
          <w:rFonts w:cs="Arial"/>
          <w:szCs w:val="24"/>
        </w:rPr>
      </w:pPr>
      <w:r>
        <w:rPr>
          <w:rFonts w:cs="Arial"/>
          <w:szCs w:val="24"/>
        </w:rPr>
        <w:t xml:space="preserve">Cette étude révèle </w:t>
      </w:r>
      <w:r w:rsidR="00A333CF">
        <w:rPr>
          <w:rFonts w:cs="Arial"/>
          <w:szCs w:val="24"/>
        </w:rPr>
        <w:t>que</w:t>
      </w:r>
      <w:r w:rsidR="005D0D4E">
        <w:rPr>
          <w:rFonts w:cs="Arial"/>
          <w:szCs w:val="24"/>
        </w:rPr>
        <w:t xml:space="preserve">, </w:t>
      </w:r>
      <w:r w:rsidR="001E5DC2">
        <w:rPr>
          <w:rFonts w:cs="Arial"/>
          <w:szCs w:val="24"/>
        </w:rPr>
        <w:t xml:space="preserve">pour favoriser la participation de leurs membres à leurs </w:t>
      </w:r>
      <w:r w:rsidR="005D0D4E">
        <w:rPr>
          <w:rFonts w:cs="Arial"/>
          <w:szCs w:val="24"/>
        </w:rPr>
        <w:t xml:space="preserve">activités de vie associative, </w:t>
      </w:r>
      <w:r w:rsidR="00A333CF">
        <w:rPr>
          <w:rFonts w:cs="Arial"/>
          <w:szCs w:val="24"/>
        </w:rPr>
        <w:t xml:space="preserve">les </w:t>
      </w:r>
      <w:r w:rsidR="00277387" w:rsidRPr="0046364E">
        <w:rPr>
          <w:rFonts w:cs="Arial"/>
          <w:szCs w:val="24"/>
        </w:rPr>
        <w:t>organisme</w:t>
      </w:r>
      <w:r w:rsidR="00A333CF">
        <w:rPr>
          <w:rFonts w:cs="Arial"/>
          <w:szCs w:val="24"/>
        </w:rPr>
        <w:t>s</w:t>
      </w:r>
      <w:r w:rsidR="00277387" w:rsidRPr="0046364E">
        <w:rPr>
          <w:rFonts w:cs="Arial"/>
          <w:szCs w:val="24"/>
        </w:rPr>
        <w:t xml:space="preserve"> </w:t>
      </w:r>
      <w:r>
        <w:rPr>
          <w:rFonts w:cs="Arial"/>
          <w:szCs w:val="24"/>
        </w:rPr>
        <w:t>communautaire</w:t>
      </w:r>
      <w:r w:rsidR="001E5DC2">
        <w:rPr>
          <w:rFonts w:cs="Arial"/>
          <w:szCs w:val="24"/>
        </w:rPr>
        <w:t>s</w:t>
      </w:r>
      <w:r>
        <w:rPr>
          <w:rFonts w:cs="Arial"/>
          <w:szCs w:val="24"/>
        </w:rPr>
        <w:t xml:space="preserve"> qui représente</w:t>
      </w:r>
      <w:r w:rsidR="00A333CF">
        <w:rPr>
          <w:rFonts w:cs="Arial"/>
          <w:szCs w:val="24"/>
        </w:rPr>
        <w:t>nt</w:t>
      </w:r>
      <w:r>
        <w:rPr>
          <w:rFonts w:cs="Arial"/>
          <w:szCs w:val="24"/>
        </w:rPr>
        <w:t xml:space="preserve"> </w:t>
      </w:r>
      <w:r w:rsidR="00277387" w:rsidRPr="0046364E">
        <w:rPr>
          <w:rFonts w:cs="Arial"/>
          <w:szCs w:val="24"/>
        </w:rPr>
        <w:t xml:space="preserve">les personnes </w:t>
      </w:r>
      <w:r>
        <w:rPr>
          <w:rFonts w:cs="Arial"/>
          <w:szCs w:val="24"/>
        </w:rPr>
        <w:t>ayant des limitations fonctionnelles consacre</w:t>
      </w:r>
      <w:r w:rsidR="00A333CF">
        <w:rPr>
          <w:rFonts w:cs="Arial"/>
          <w:szCs w:val="24"/>
        </w:rPr>
        <w:t>nt</w:t>
      </w:r>
      <w:r>
        <w:rPr>
          <w:rFonts w:cs="Arial"/>
          <w:szCs w:val="24"/>
        </w:rPr>
        <w:t xml:space="preserve"> </w:t>
      </w:r>
      <w:r w:rsidR="00E70A18">
        <w:rPr>
          <w:rFonts w:cs="Arial"/>
          <w:szCs w:val="24"/>
        </w:rPr>
        <w:t xml:space="preserve">en moyenne </w:t>
      </w:r>
      <w:r w:rsidR="00277387" w:rsidRPr="0046364E">
        <w:rPr>
          <w:rFonts w:cs="Arial"/>
          <w:szCs w:val="24"/>
        </w:rPr>
        <w:t>12</w:t>
      </w:r>
      <w:r w:rsidR="00C05D1A">
        <w:rPr>
          <w:rFonts w:cs="Arial"/>
          <w:szCs w:val="24"/>
        </w:rPr>
        <w:t> </w:t>
      </w:r>
      <w:r w:rsidR="00277387" w:rsidRPr="0046364E">
        <w:rPr>
          <w:rFonts w:cs="Arial"/>
          <w:szCs w:val="24"/>
        </w:rPr>
        <w:t>366</w:t>
      </w:r>
      <w:r w:rsidR="00C05D1A">
        <w:rPr>
          <w:rFonts w:cs="Arial"/>
          <w:szCs w:val="24"/>
        </w:rPr>
        <w:t> </w:t>
      </w:r>
      <w:r w:rsidR="00277387" w:rsidRPr="0046364E">
        <w:rPr>
          <w:rFonts w:cs="Arial"/>
          <w:szCs w:val="24"/>
        </w:rPr>
        <w:t xml:space="preserve">$ </w:t>
      </w:r>
      <w:r>
        <w:rPr>
          <w:rFonts w:cs="Arial"/>
          <w:szCs w:val="24"/>
        </w:rPr>
        <w:t xml:space="preserve">par année </w:t>
      </w:r>
      <w:r w:rsidR="00192A8F">
        <w:rPr>
          <w:rFonts w:cs="Arial"/>
          <w:szCs w:val="24"/>
        </w:rPr>
        <w:t xml:space="preserve">pour des </w:t>
      </w:r>
      <w:r w:rsidR="005D0D4E">
        <w:rPr>
          <w:rFonts w:cs="Arial"/>
          <w:szCs w:val="24"/>
        </w:rPr>
        <w:t>mesures d’</w:t>
      </w:r>
      <w:r w:rsidR="00277387" w:rsidRPr="0046364E">
        <w:rPr>
          <w:rFonts w:cs="Arial"/>
          <w:szCs w:val="24"/>
        </w:rPr>
        <w:t>accommodement</w:t>
      </w:r>
      <w:r w:rsidR="00C104D6">
        <w:rPr>
          <w:rFonts w:cs="Arial"/>
          <w:szCs w:val="24"/>
        </w:rPr>
        <w:t>, ce qui représente un montant total annuel de 13</w:t>
      </w:r>
      <w:r w:rsidR="00C1791C">
        <w:rPr>
          <w:rFonts w:cs="Arial"/>
          <w:szCs w:val="24"/>
        </w:rPr>
        <w:t>,</w:t>
      </w:r>
      <w:r w:rsidR="00C104D6">
        <w:rPr>
          <w:rFonts w:cs="Arial"/>
          <w:szCs w:val="24"/>
        </w:rPr>
        <w:t>2 millions de dollar</w:t>
      </w:r>
      <w:r w:rsidR="00ED54CD">
        <w:rPr>
          <w:rFonts w:cs="Arial"/>
          <w:szCs w:val="24"/>
        </w:rPr>
        <w:t>s</w:t>
      </w:r>
      <w:r w:rsidR="00C104D6">
        <w:rPr>
          <w:rFonts w:cs="Arial"/>
          <w:szCs w:val="24"/>
        </w:rPr>
        <w:t xml:space="preserve"> pour tout le Québec</w:t>
      </w:r>
      <w:r w:rsidR="006367AA">
        <w:rPr>
          <w:rFonts w:cs="Arial"/>
          <w:szCs w:val="24"/>
        </w:rPr>
        <w:t xml:space="preserve"> </w:t>
      </w:r>
      <w:r w:rsidR="006367AA">
        <w:rPr>
          <w:rStyle w:val="FootnoteReference"/>
          <w:rFonts w:cs="Arial"/>
          <w:szCs w:val="24"/>
        </w:rPr>
        <w:footnoteReference w:id="1"/>
      </w:r>
      <w:r w:rsidR="00277387" w:rsidRPr="0046364E">
        <w:rPr>
          <w:rFonts w:cs="Arial"/>
          <w:szCs w:val="24"/>
        </w:rPr>
        <w:t xml:space="preserve">. </w:t>
      </w:r>
      <w:r w:rsidR="00A272AC">
        <w:rPr>
          <w:rFonts w:cs="Arial"/>
          <w:szCs w:val="24"/>
        </w:rPr>
        <w:t xml:space="preserve">Comme il n’existe aucune enveloppe spécifique pour couvrir ces coûts supplémentaires, ces </w:t>
      </w:r>
      <w:r w:rsidR="00C1791C">
        <w:rPr>
          <w:rFonts w:cs="Arial"/>
          <w:szCs w:val="24"/>
        </w:rPr>
        <w:t xml:space="preserve">dépenses </w:t>
      </w:r>
      <w:r w:rsidR="00A272AC">
        <w:rPr>
          <w:rFonts w:cs="Arial"/>
          <w:szCs w:val="24"/>
        </w:rPr>
        <w:t xml:space="preserve">sont </w:t>
      </w:r>
      <w:r w:rsidR="00C1791C">
        <w:rPr>
          <w:rFonts w:cs="Arial"/>
          <w:szCs w:val="24"/>
        </w:rPr>
        <w:t xml:space="preserve">effectuées </w:t>
      </w:r>
      <w:r w:rsidR="00A272AC">
        <w:rPr>
          <w:rFonts w:cs="Arial"/>
          <w:szCs w:val="24"/>
        </w:rPr>
        <w:t>à même le budget de fonctionnement des organisme</w:t>
      </w:r>
      <w:r w:rsidR="00C1791C">
        <w:rPr>
          <w:rFonts w:cs="Arial"/>
          <w:szCs w:val="24"/>
        </w:rPr>
        <w:t>s</w:t>
      </w:r>
      <w:r w:rsidR="001E5DC2">
        <w:rPr>
          <w:rFonts w:cs="Arial"/>
          <w:szCs w:val="24"/>
        </w:rPr>
        <w:t xml:space="preserve">, et </w:t>
      </w:r>
      <w:r w:rsidR="002D6439">
        <w:rPr>
          <w:rFonts w:cs="Arial"/>
          <w:szCs w:val="24"/>
        </w:rPr>
        <w:t xml:space="preserve">plusieurs </w:t>
      </w:r>
      <w:r w:rsidR="001E5DC2">
        <w:rPr>
          <w:rFonts w:cs="Arial"/>
          <w:szCs w:val="24"/>
        </w:rPr>
        <w:t>mesures d’accommod</w:t>
      </w:r>
      <w:r w:rsidR="006367AA">
        <w:rPr>
          <w:rFonts w:cs="Arial"/>
          <w:szCs w:val="24"/>
        </w:rPr>
        <w:t>ement ne peuvent pas être offertes, faute de budget.</w:t>
      </w:r>
      <w:r w:rsidR="00CB6625">
        <w:rPr>
          <w:rFonts w:cs="Arial"/>
          <w:szCs w:val="24"/>
        </w:rPr>
        <w:t xml:space="preserve"> </w:t>
      </w:r>
    </w:p>
    <w:p w:rsidR="00277387" w:rsidRPr="0046364E" w:rsidRDefault="0025572F" w:rsidP="00277387">
      <w:pPr>
        <w:rPr>
          <w:rFonts w:cs="Arial"/>
          <w:szCs w:val="24"/>
        </w:rPr>
      </w:pPr>
      <w:r>
        <w:rPr>
          <w:rFonts w:cs="Arial"/>
          <w:szCs w:val="24"/>
        </w:rPr>
        <w:t>Par conséquent</w:t>
      </w:r>
      <w:r w:rsidR="00551F23">
        <w:rPr>
          <w:rFonts w:cs="Arial"/>
          <w:szCs w:val="24"/>
        </w:rPr>
        <w:t xml:space="preserve">, </w:t>
      </w:r>
      <w:r w:rsidR="004438CC">
        <w:rPr>
          <w:rFonts w:cs="Arial"/>
          <w:szCs w:val="24"/>
        </w:rPr>
        <w:t xml:space="preserve">pour </w:t>
      </w:r>
      <w:r w:rsidR="00192A8F">
        <w:rPr>
          <w:rFonts w:cs="Arial"/>
          <w:szCs w:val="24"/>
        </w:rPr>
        <w:t xml:space="preserve">permettre aux </w:t>
      </w:r>
      <w:r w:rsidR="004438CC">
        <w:rPr>
          <w:rFonts w:cs="Arial"/>
          <w:szCs w:val="24"/>
        </w:rPr>
        <w:t>organismes qui représentent les personnes ayant des limitations fonctionnelles</w:t>
      </w:r>
      <w:r w:rsidR="00192A8F">
        <w:rPr>
          <w:rFonts w:cs="Arial"/>
          <w:szCs w:val="24"/>
        </w:rPr>
        <w:t xml:space="preserve"> d’offrir des activités inclusives à leurs membres, une enveloppe spécifique dédiée aux mesures d’accommodement devrait être mise en place. </w:t>
      </w:r>
      <w:r w:rsidR="002D6439">
        <w:rPr>
          <w:rFonts w:cs="Arial"/>
          <w:szCs w:val="24"/>
        </w:rPr>
        <w:t>En outre, l</w:t>
      </w:r>
      <w:r w:rsidR="004B047E">
        <w:rPr>
          <w:rFonts w:cs="Arial"/>
          <w:szCs w:val="24"/>
        </w:rPr>
        <w:t xml:space="preserve">e montant additionnel </w:t>
      </w:r>
      <w:r w:rsidR="00192A8F">
        <w:rPr>
          <w:rFonts w:cs="Arial"/>
          <w:szCs w:val="24"/>
        </w:rPr>
        <w:t xml:space="preserve">ainsi accordé </w:t>
      </w:r>
      <w:r w:rsidR="008053E4">
        <w:rPr>
          <w:rFonts w:cs="Arial"/>
          <w:szCs w:val="24"/>
        </w:rPr>
        <w:t xml:space="preserve">devra </w:t>
      </w:r>
      <w:r w:rsidR="00551F23">
        <w:rPr>
          <w:rFonts w:cs="Arial"/>
          <w:szCs w:val="24"/>
        </w:rPr>
        <w:t xml:space="preserve">faire partie du </w:t>
      </w:r>
      <w:r w:rsidR="00277387" w:rsidRPr="0046364E">
        <w:rPr>
          <w:rFonts w:cs="Arial"/>
          <w:szCs w:val="24"/>
        </w:rPr>
        <w:t xml:space="preserve">financement </w:t>
      </w:r>
      <w:r w:rsidR="004B047E">
        <w:rPr>
          <w:rFonts w:cs="Arial"/>
          <w:szCs w:val="24"/>
        </w:rPr>
        <w:t>à la mission</w:t>
      </w:r>
      <w:r w:rsidR="00CC5DD9">
        <w:rPr>
          <w:rFonts w:cs="Arial"/>
          <w:szCs w:val="24"/>
        </w:rPr>
        <w:t xml:space="preserve"> </w:t>
      </w:r>
      <w:r w:rsidR="009871A5">
        <w:rPr>
          <w:rFonts w:cs="Arial"/>
          <w:szCs w:val="24"/>
        </w:rPr>
        <w:t xml:space="preserve">globale </w:t>
      </w:r>
      <w:r w:rsidR="00CC5DD9">
        <w:rPr>
          <w:rFonts w:cs="Arial"/>
          <w:szCs w:val="24"/>
        </w:rPr>
        <w:t>des organismes</w:t>
      </w:r>
      <w:r w:rsidR="00543879">
        <w:rPr>
          <w:rFonts w:cs="Arial"/>
          <w:szCs w:val="24"/>
        </w:rPr>
        <w:t>.</w:t>
      </w:r>
    </w:p>
    <w:p w:rsidR="00721F09" w:rsidRPr="00721F09" w:rsidRDefault="00277387" w:rsidP="00721F09">
      <w:pPr>
        <w:rPr>
          <w:b/>
        </w:rPr>
      </w:pPr>
      <w:r w:rsidRPr="00721F09">
        <w:rPr>
          <w:b/>
        </w:rPr>
        <w:t>Recommandation</w:t>
      </w:r>
      <w:r w:rsidR="00721F09" w:rsidRPr="00721F09">
        <w:rPr>
          <w:b/>
        </w:rPr>
        <w:t>s</w:t>
      </w:r>
      <w:r w:rsidRPr="00721F09">
        <w:rPr>
          <w:b/>
        </w:rPr>
        <w:t> :</w:t>
      </w:r>
      <w:r w:rsidR="00656084" w:rsidRPr="00721F09">
        <w:rPr>
          <w:b/>
        </w:rPr>
        <w:t xml:space="preserve"> </w:t>
      </w:r>
    </w:p>
    <w:p w:rsidR="00277387" w:rsidRPr="00721F09" w:rsidRDefault="00EF4D28" w:rsidP="007D7E7B">
      <w:pPr>
        <w:pStyle w:val="encadre"/>
        <w:numPr>
          <w:ilvl w:val="0"/>
          <w:numId w:val="8"/>
        </w:numPr>
      </w:pPr>
      <w:r>
        <w:t>Q</w:t>
      </w:r>
      <w:r w:rsidR="00277387" w:rsidRPr="00721F09">
        <w:t xml:space="preserve">u’un </w:t>
      </w:r>
      <w:r>
        <w:t xml:space="preserve">montant </w:t>
      </w:r>
      <w:r w:rsidR="00277387" w:rsidRPr="00721F09">
        <w:t xml:space="preserve">de 15 millions de dollars soit </w:t>
      </w:r>
      <w:r w:rsidR="007B1D54" w:rsidRPr="00721F09">
        <w:t xml:space="preserve">octroyé </w:t>
      </w:r>
      <w:r w:rsidR="00876F68">
        <w:t xml:space="preserve">chaque année </w:t>
      </w:r>
      <w:r w:rsidR="00277387" w:rsidRPr="00721F09">
        <w:t xml:space="preserve">pour soutenir </w:t>
      </w:r>
      <w:r w:rsidR="00876F68">
        <w:t xml:space="preserve">l’inclusion et </w:t>
      </w:r>
      <w:r w:rsidR="00277387" w:rsidRPr="00721F09">
        <w:t>la participation des personnes ayant des limitations fonctionnelles à la vie associative des organismes communautaire</w:t>
      </w:r>
      <w:r>
        <w:t>s</w:t>
      </w:r>
      <w:r w:rsidR="00F24253" w:rsidRPr="00721F09">
        <w:t xml:space="preserve"> qui les représentent</w:t>
      </w:r>
      <w:r>
        <w:t>, tel que recommandé par l’IRIS</w:t>
      </w:r>
      <w:r w:rsidR="002D6439">
        <w:t xml:space="preserve"> </w:t>
      </w:r>
      <w:r w:rsidR="002D6439">
        <w:rPr>
          <w:rStyle w:val="FootnoteReference"/>
        </w:rPr>
        <w:footnoteReference w:id="2"/>
      </w:r>
      <w:r w:rsidR="0064450C" w:rsidRPr="00721F09">
        <w:t>.</w:t>
      </w:r>
    </w:p>
    <w:p w:rsidR="00277387" w:rsidRPr="00721F09" w:rsidRDefault="00277387" w:rsidP="007D7E7B">
      <w:pPr>
        <w:pStyle w:val="encadre"/>
        <w:numPr>
          <w:ilvl w:val="0"/>
          <w:numId w:val="8"/>
        </w:numPr>
      </w:pPr>
      <w:r w:rsidRPr="00721F09">
        <w:lastRenderedPageBreak/>
        <w:t xml:space="preserve">Que </w:t>
      </w:r>
      <w:r w:rsidR="004C6F3E" w:rsidRPr="00721F09">
        <w:t xml:space="preserve">les fonds </w:t>
      </w:r>
      <w:r w:rsidR="00573582" w:rsidRPr="00721F09">
        <w:t>additionnel</w:t>
      </w:r>
      <w:r w:rsidR="004C6F3E" w:rsidRPr="00721F09">
        <w:t>s</w:t>
      </w:r>
      <w:r w:rsidR="00573582" w:rsidRPr="00721F09">
        <w:t xml:space="preserve"> </w:t>
      </w:r>
      <w:r w:rsidR="004C6F3E" w:rsidRPr="00721F09">
        <w:t xml:space="preserve">dédiés aux </w:t>
      </w:r>
      <w:r w:rsidR="00EF4D28">
        <w:t>mesures d’</w:t>
      </w:r>
      <w:r w:rsidR="00573582" w:rsidRPr="00721F09">
        <w:t>accommodement fasse</w:t>
      </w:r>
      <w:r w:rsidR="004C6F3E" w:rsidRPr="00721F09">
        <w:t>nt</w:t>
      </w:r>
      <w:r w:rsidR="00573582" w:rsidRPr="00721F09">
        <w:t xml:space="preserve"> partie du financement à la mission </w:t>
      </w:r>
      <w:r w:rsidR="00F24253" w:rsidRPr="00721F09">
        <w:t xml:space="preserve">globale </w:t>
      </w:r>
      <w:r w:rsidR="00573582" w:rsidRPr="00721F09">
        <w:t>des organismes communautaire</w:t>
      </w:r>
      <w:r w:rsidR="00EF4D28">
        <w:t>s</w:t>
      </w:r>
      <w:r w:rsidR="00573582" w:rsidRPr="00721F09">
        <w:t xml:space="preserve"> </w:t>
      </w:r>
      <w:r w:rsidR="00F24253" w:rsidRPr="00721F09">
        <w:t xml:space="preserve">qui représentent les </w:t>
      </w:r>
      <w:r w:rsidR="00573582" w:rsidRPr="00721F09">
        <w:t xml:space="preserve">personnes ayant des limitations fonctionnelles, et que la reddition de comptes démontre que </w:t>
      </w:r>
      <w:r w:rsidR="004C6F3E" w:rsidRPr="00721F09">
        <w:t xml:space="preserve">ces fonds </w:t>
      </w:r>
      <w:r w:rsidR="00573582" w:rsidRPr="00721F09">
        <w:t xml:space="preserve">ont bien été utilisés pour </w:t>
      </w:r>
      <w:r w:rsidR="003362B5">
        <w:t xml:space="preserve">soutenir </w:t>
      </w:r>
      <w:r w:rsidR="00573582" w:rsidRPr="00721F09">
        <w:t xml:space="preserve">l’inclusion et la participation des personnes ayant des limitations fonctionnelles à </w:t>
      </w:r>
      <w:r w:rsidR="004C6F3E" w:rsidRPr="00721F09">
        <w:t xml:space="preserve">leur </w:t>
      </w:r>
      <w:r w:rsidR="00573582" w:rsidRPr="00721F09">
        <w:t>vie associative.</w:t>
      </w:r>
    </w:p>
    <w:p w:rsidR="00C90BE1" w:rsidRDefault="00F50F5F" w:rsidP="009E7B2A">
      <w:pPr>
        <w:pStyle w:val="Heading2"/>
      </w:pPr>
      <w:bookmarkStart w:id="15" w:name="_Toc26543495"/>
      <w:r>
        <w:t>Embauche, i</w:t>
      </w:r>
      <w:r w:rsidR="009E7B2A">
        <w:t>ntégration et maintien en emploi des personnes ayant des limitations fonctionnelles dans les organismes communautaire</w:t>
      </w:r>
      <w:r w:rsidR="003362B5">
        <w:t>s</w:t>
      </w:r>
      <w:bookmarkEnd w:id="15"/>
      <w:r w:rsidR="009E7B2A">
        <w:t xml:space="preserve"> </w:t>
      </w:r>
    </w:p>
    <w:p w:rsidR="007263D8" w:rsidRDefault="00C05D1A" w:rsidP="00507D1D">
      <w:r>
        <w:t>En 2017, le ministère de la Santé et des S</w:t>
      </w:r>
      <w:r w:rsidR="00714408">
        <w:t xml:space="preserve">ervices sociaux (MSSS) </w:t>
      </w:r>
      <w:r w:rsidR="007263D8">
        <w:t xml:space="preserve">a </w:t>
      </w:r>
      <w:r w:rsidR="00C2224C">
        <w:t>procédé à un r</w:t>
      </w:r>
      <w:r w:rsidR="004F28A0">
        <w:t>e</w:t>
      </w:r>
      <w:r w:rsidR="00C2224C">
        <w:t>haussement du</w:t>
      </w:r>
      <w:r w:rsidR="00ED4F82">
        <w:t xml:space="preserve"> Programme de soutien à l’action communautaire (PSOC)</w:t>
      </w:r>
      <w:r w:rsidR="007263D8">
        <w:t>.</w:t>
      </w:r>
      <w:r>
        <w:t xml:space="preserve"> </w:t>
      </w:r>
      <w:r w:rsidR="00F82A59">
        <w:t xml:space="preserve">Cependant, </w:t>
      </w:r>
      <w:r w:rsidR="003217A8">
        <w:t xml:space="preserve">le calcul visant à répartir les nouveaux crédits entre les organismes financés par le PSOC dans la région de Montréal s’est fondé sur l’écart entre le seuil plancher et </w:t>
      </w:r>
      <w:r w:rsidR="00F6360B">
        <w:t xml:space="preserve">le revenu </w:t>
      </w:r>
      <w:r w:rsidR="00C938F5">
        <w:t xml:space="preserve">total </w:t>
      </w:r>
      <w:r w:rsidR="00F6360B">
        <w:t>de</w:t>
      </w:r>
      <w:r w:rsidR="007F14DD">
        <w:t>s</w:t>
      </w:r>
      <w:r w:rsidR="00F6360B">
        <w:t xml:space="preserve"> organisme</w:t>
      </w:r>
      <w:r w:rsidR="007F14DD">
        <w:t>s</w:t>
      </w:r>
      <w:r w:rsidR="00F6360B">
        <w:t xml:space="preserve">, plutôt que sur l’écart entre le seuil plancher et le montant du financement à </w:t>
      </w:r>
      <w:r w:rsidR="00C938F5">
        <w:t xml:space="preserve">la </w:t>
      </w:r>
      <w:r w:rsidR="00F6360B">
        <w:t xml:space="preserve">mission globale. </w:t>
      </w:r>
    </w:p>
    <w:p w:rsidR="006E07DC" w:rsidRDefault="00C938F5" w:rsidP="00B9072B">
      <w:r>
        <w:t>Or, c</w:t>
      </w:r>
      <w:r w:rsidR="007F14DD">
        <w:t xml:space="preserve">e mode de calcul </w:t>
      </w:r>
      <w:r w:rsidR="00391AE5">
        <w:t xml:space="preserve">s’avère </w:t>
      </w:r>
      <w:r w:rsidR="008E3AFF">
        <w:t xml:space="preserve">discriminatoire pour les personnes </w:t>
      </w:r>
      <w:r w:rsidR="00391AE5">
        <w:t>ayant des limitations fonctionnelles qui travaillent dans les organismes communautaire</w:t>
      </w:r>
      <w:r w:rsidR="003362B5">
        <w:t>s</w:t>
      </w:r>
      <w:r w:rsidR="00391AE5">
        <w:t xml:space="preserve">. En effet, de nombreuses personnes ayant des limitations fonctionnelles bénéficient d’une subvention salariale, le « Contrat d’intégration au travail » (CIT), </w:t>
      </w:r>
      <w:r w:rsidR="00B9072B">
        <w:t xml:space="preserve">une </w:t>
      </w:r>
      <w:r w:rsidR="00B9072B" w:rsidRPr="00B9072B">
        <w:t xml:space="preserve">mesure </w:t>
      </w:r>
      <w:r w:rsidR="00B9072B">
        <w:t xml:space="preserve">qui </w:t>
      </w:r>
      <w:r w:rsidR="00B9072B" w:rsidRPr="00B9072B">
        <w:t xml:space="preserve">permet de rembourser à l’employeur certains frais nécessaires pour l’intégration ou le maintien en emploi </w:t>
      </w:r>
      <w:r w:rsidR="00B9072B">
        <w:t xml:space="preserve">de la personne ayant des limitations fonctionnelles. </w:t>
      </w:r>
      <w:r w:rsidR="001B2C15">
        <w:t>Aussi, l</w:t>
      </w:r>
      <w:r w:rsidR="00B9072B">
        <w:t xml:space="preserve">e fait de considérer le montant du CIT dans le revenu </w:t>
      </w:r>
      <w:r w:rsidR="00E730AC">
        <w:t xml:space="preserve">total </w:t>
      </w:r>
      <w:r w:rsidR="00B9072B">
        <w:t>de</w:t>
      </w:r>
      <w:r w:rsidR="00ED4F82">
        <w:t>s</w:t>
      </w:r>
      <w:r w:rsidR="00B9072B">
        <w:t xml:space="preserve"> organisme</w:t>
      </w:r>
      <w:r w:rsidR="00ED4F82">
        <w:t>s</w:t>
      </w:r>
      <w:r w:rsidR="00B9072B">
        <w:t xml:space="preserve"> peut </w:t>
      </w:r>
      <w:r w:rsidR="00805BB6">
        <w:t xml:space="preserve">les </w:t>
      </w:r>
      <w:r w:rsidR="00B9072B">
        <w:t>dissuader d’embaucher des personnes qui bénéficient de cette mesure</w:t>
      </w:r>
      <w:r w:rsidR="00B208C2">
        <w:t xml:space="preserve">, </w:t>
      </w:r>
      <w:r w:rsidR="006E07DC">
        <w:t xml:space="preserve">puisque le revenu total d’un </w:t>
      </w:r>
      <w:r w:rsidR="00B208C2">
        <w:t xml:space="preserve">organisme qui embauche plusieurs personnes ayant des limitations fonctionnelles </w:t>
      </w:r>
      <w:r w:rsidR="00066246">
        <w:t>est</w:t>
      </w:r>
      <w:r w:rsidR="006E07DC">
        <w:t xml:space="preserve"> </w:t>
      </w:r>
      <w:r w:rsidR="00066246">
        <w:t>« </w:t>
      </w:r>
      <w:r w:rsidR="00C05D1A">
        <w:t>artificiellement</w:t>
      </w:r>
      <w:r w:rsidR="00066246">
        <w:t> »</w:t>
      </w:r>
      <w:r w:rsidR="00F82A59">
        <w:t xml:space="preserve"> </w:t>
      </w:r>
      <w:r w:rsidR="006E07DC">
        <w:t>augmenté</w:t>
      </w:r>
      <w:r w:rsidR="00B9072B">
        <w:t xml:space="preserve">. </w:t>
      </w:r>
    </w:p>
    <w:p w:rsidR="00B9072B" w:rsidRDefault="00B9072B" w:rsidP="00B9072B">
      <w:r>
        <w:t>Pourtant, les organismes communautaire</w:t>
      </w:r>
      <w:r w:rsidR="003362B5">
        <w:t>s</w:t>
      </w:r>
      <w:r>
        <w:t xml:space="preserve"> </w:t>
      </w:r>
      <w:r w:rsidR="00100CFF">
        <w:t xml:space="preserve">sont des acteurs essentiels pour </w:t>
      </w:r>
      <w:r w:rsidR="004F28A0">
        <w:t xml:space="preserve">l’embauche, l’intégration et le maintien en emploi </w:t>
      </w:r>
      <w:r w:rsidR="006B7454">
        <w:t>de</w:t>
      </w:r>
      <w:r w:rsidR="00100CFF">
        <w:t>s</w:t>
      </w:r>
      <w:r w:rsidR="006B7454">
        <w:t xml:space="preserve"> personnes « éloignées du marché du travail » </w:t>
      </w:r>
      <w:r w:rsidR="00100CFF">
        <w:t>et</w:t>
      </w:r>
      <w:r w:rsidR="0064450C">
        <w:t>/ou</w:t>
      </w:r>
      <w:r w:rsidR="00100CFF">
        <w:t xml:space="preserve"> </w:t>
      </w:r>
      <w:r w:rsidR="006B7454">
        <w:t>de</w:t>
      </w:r>
      <w:r w:rsidR="00100CFF">
        <w:t>s</w:t>
      </w:r>
      <w:r w:rsidR="006B7454">
        <w:t xml:space="preserve"> personnes ayant des limitations fonctionnelles. </w:t>
      </w:r>
    </w:p>
    <w:p w:rsidR="00556709" w:rsidRPr="00556709" w:rsidRDefault="006B7454" w:rsidP="00556709">
      <w:pPr>
        <w:rPr>
          <w:b/>
        </w:rPr>
      </w:pPr>
      <w:r w:rsidRPr="00556709">
        <w:rPr>
          <w:b/>
        </w:rPr>
        <w:t xml:space="preserve">Recommandation : </w:t>
      </w:r>
    </w:p>
    <w:p w:rsidR="006B7454" w:rsidRPr="00556709" w:rsidRDefault="006B7454" w:rsidP="007D7E7B">
      <w:pPr>
        <w:pStyle w:val="encadre"/>
        <w:numPr>
          <w:ilvl w:val="0"/>
          <w:numId w:val="8"/>
        </w:numPr>
      </w:pPr>
      <w:r w:rsidRPr="00556709">
        <w:t>Que les subventions salariales</w:t>
      </w:r>
      <w:r w:rsidR="00E730AC" w:rsidRPr="00556709">
        <w:t>,</w:t>
      </w:r>
      <w:r w:rsidR="00500976" w:rsidRPr="00556709">
        <w:t xml:space="preserve"> comme le Contrat d’intégration au travail (CIT) </w:t>
      </w:r>
      <w:r w:rsidR="00E730AC" w:rsidRPr="00556709">
        <w:t xml:space="preserve">et autres mesures visant à soutenir </w:t>
      </w:r>
      <w:r w:rsidR="00500976" w:rsidRPr="00556709">
        <w:t>l’emploi des personnes éloignées du marché du travail</w:t>
      </w:r>
      <w:r w:rsidR="00E730AC" w:rsidRPr="00556709">
        <w:t>,</w:t>
      </w:r>
      <w:r w:rsidR="00500976" w:rsidRPr="00556709">
        <w:t xml:space="preserve"> soient </w:t>
      </w:r>
      <w:r w:rsidR="00805BB6" w:rsidRPr="00556709">
        <w:t xml:space="preserve">systématiquement </w:t>
      </w:r>
      <w:r w:rsidR="00500976" w:rsidRPr="00556709">
        <w:t>exclu</w:t>
      </w:r>
      <w:r w:rsidR="00E730AC" w:rsidRPr="00556709">
        <w:t>e</w:t>
      </w:r>
      <w:r w:rsidR="00500976" w:rsidRPr="00556709">
        <w:t xml:space="preserve">s </w:t>
      </w:r>
      <w:r w:rsidR="00302B7A" w:rsidRPr="00556709">
        <w:t xml:space="preserve">du </w:t>
      </w:r>
      <w:r w:rsidR="0068320F" w:rsidRPr="00556709">
        <w:t xml:space="preserve">montant </w:t>
      </w:r>
      <w:r w:rsidR="00302B7A" w:rsidRPr="00556709">
        <w:t xml:space="preserve">utilisé pour calculer </w:t>
      </w:r>
      <w:r w:rsidR="00500976" w:rsidRPr="00556709">
        <w:t>la répartition des nouveaux crédits</w:t>
      </w:r>
      <w:r w:rsidR="00792EAD" w:rsidRPr="00556709">
        <w:t xml:space="preserve"> pour le financement à la mission </w:t>
      </w:r>
      <w:r w:rsidR="00CE4834" w:rsidRPr="00556709">
        <w:t xml:space="preserve">globale </w:t>
      </w:r>
      <w:r w:rsidR="00792EAD" w:rsidRPr="00556709">
        <w:t>des organismes communautaire</w:t>
      </w:r>
      <w:r w:rsidR="00556709">
        <w:t>s</w:t>
      </w:r>
      <w:r w:rsidR="00792EAD" w:rsidRPr="00556709">
        <w:t xml:space="preserve">. </w:t>
      </w:r>
    </w:p>
    <w:p w:rsidR="00A0628D" w:rsidRDefault="00A0628D" w:rsidP="00A0628D">
      <w:pPr>
        <w:pStyle w:val="Heading2"/>
      </w:pPr>
      <w:bookmarkStart w:id="16" w:name="_Toc26543496"/>
      <w:r>
        <w:lastRenderedPageBreak/>
        <w:t>Accès à des locaux accessibles et abordables</w:t>
      </w:r>
      <w:bookmarkEnd w:id="16"/>
      <w:r>
        <w:t xml:space="preserve"> </w:t>
      </w:r>
    </w:p>
    <w:p w:rsidR="00A0628D" w:rsidRDefault="00A0628D" w:rsidP="00066EB0">
      <w:r w:rsidRPr="00D427F5">
        <w:t xml:space="preserve">La disponibilité de locaux </w:t>
      </w:r>
      <w:r w:rsidR="00066EB0">
        <w:t xml:space="preserve">accessibles et </w:t>
      </w:r>
      <w:r w:rsidRPr="00D427F5">
        <w:t xml:space="preserve">abordables est un enjeu majeur pour les </w:t>
      </w:r>
      <w:r>
        <w:t xml:space="preserve">organismes </w:t>
      </w:r>
      <w:r w:rsidRPr="00D427F5">
        <w:t>communautaire</w:t>
      </w:r>
      <w:r w:rsidR="00556709">
        <w:t>s</w:t>
      </w:r>
      <w:r>
        <w:t xml:space="preserve"> montréalais, et plus particulièrement pour les organismes </w:t>
      </w:r>
      <w:r w:rsidR="00556709">
        <w:t>qui représentent l</w:t>
      </w:r>
      <w:r>
        <w:t xml:space="preserve">es personnes ayant des limitations fonctionnelles, </w:t>
      </w:r>
      <w:r w:rsidR="00066EB0">
        <w:t xml:space="preserve">qui ne sauraient réaliser leur mission et offrir leurs activités sans </w:t>
      </w:r>
      <w:r w:rsidR="009A171F">
        <w:t xml:space="preserve">un accès à des </w:t>
      </w:r>
      <w:r>
        <w:t xml:space="preserve">locaux universellement accessibles. </w:t>
      </w:r>
    </w:p>
    <w:p w:rsidR="00A0628D" w:rsidRDefault="00A0628D" w:rsidP="00A0628D">
      <w:r>
        <w:t xml:space="preserve">Or, dans les dernières années, la hausse des loyers dans les édifices privés </w:t>
      </w:r>
      <w:r w:rsidR="009A171F">
        <w:t xml:space="preserve">et </w:t>
      </w:r>
      <w:r>
        <w:t xml:space="preserve">publics, la reprise </w:t>
      </w:r>
      <w:r w:rsidR="00B86B0F">
        <w:t xml:space="preserve">des écoles </w:t>
      </w:r>
      <w:r>
        <w:t xml:space="preserve">par les commissions scolaires en raison de l’augmentation du nombre d’élèves dans le réseau public, ainsi que la vente de nombreuses églises </w:t>
      </w:r>
      <w:r w:rsidR="00B86B0F">
        <w:t xml:space="preserve">et </w:t>
      </w:r>
      <w:r>
        <w:t xml:space="preserve">la réorganisation du réseau de la santé, ont contraint de nombreux organismes à quitter des espaces qu’ils occupaient depuis longtemps. </w:t>
      </w:r>
    </w:p>
    <w:p w:rsidR="001507AA" w:rsidRDefault="009A171F" w:rsidP="006473A3">
      <w:r>
        <w:t xml:space="preserve">Face à l’urgence d’agir, et à la demande du milieu communautaire, </w:t>
      </w:r>
      <w:r w:rsidR="00B56112">
        <w:t xml:space="preserve">le Centre intégré universitaire de santé et de services sociaux du </w:t>
      </w:r>
      <w:r w:rsidR="00D31EB9">
        <w:t>Centre-Sud-de-l’Île-de-Montréal</w:t>
      </w:r>
      <w:r w:rsidR="00B56112">
        <w:t xml:space="preserve"> (CCSMTL)</w:t>
      </w:r>
      <w:r>
        <w:t xml:space="preserve"> a mis en place, dès 2016, u</w:t>
      </w:r>
      <w:r w:rsidR="00A0628D" w:rsidRPr="00D427F5">
        <w:t xml:space="preserve">n comité de </w:t>
      </w:r>
      <w:r w:rsidR="000C5544">
        <w:t xml:space="preserve">travail composé de </w:t>
      </w:r>
      <w:r w:rsidR="00A0628D" w:rsidRPr="00D427F5">
        <w:t>partenaires régionaux</w:t>
      </w:r>
      <w:r w:rsidR="009A52CC">
        <w:t xml:space="preserve">, afin de trouver des pistes de solutions </w:t>
      </w:r>
      <w:r w:rsidR="000C5544">
        <w:t xml:space="preserve">pour répondre </w:t>
      </w:r>
      <w:r w:rsidR="009A52CC">
        <w:t xml:space="preserve">au manque de locaux accessibles et abordables. </w:t>
      </w:r>
      <w:r w:rsidR="00255022">
        <w:t xml:space="preserve">Parmi les solutions envisagées, notons </w:t>
      </w:r>
      <w:r w:rsidR="007935C9">
        <w:t>l’identification des locaux des administrations fédérale, provinciale et municipale vacants ou sous-utilisés</w:t>
      </w:r>
      <w:r w:rsidR="0096133A">
        <w:t xml:space="preserve">, </w:t>
      </w:r>
      <w:r w:rsidR="00407B84">
        <w:t xml:space="preserve">l’utilisation de ces espaces par des organismes </w:t>
      </w:r>
      <w:r w:rsidR="0096133A">
        <w:t>communautaires</w:t>
      </w:r>
      <w:r w:rsidR="007935C9">
        <w:t xml:space="preserve">, la mise en place de programmes de financement </w:t>
      </w:r>
      <w:r w:rsidR="00255022">
        <w:t xml:space="preserve">d’appoint </w:t>
      </w:r>
      <w:r w:rsidR="007935C9">
        <w:t xml:space="preserve">pour soutenir les organismes </w:t>
      </w:r>
      <w:r w:rsidR="00255022">
        <w:t xml:space="preserve">en situation d’urgence, ainsi que </w:t>
      </w:r>
      <w:r w:rsidR="00B209E2">
        <w:t xml:space="preserve">l’instauration </w:t>
      </w:r>
      <w:r w:rsidR="00255022">
        <w:t xml:space="preserve">de programmes de financement visant à soutenir l’acquisition, la rénovation ou la mise en accessibilité </w:t>
      </w:r>
      <w:r w:rsidR="00407B84">
        <w:t xml:space="preserve">d’immeubles à vocation communautaire. </w:t>
      </w:r>
    </w:p>
    <w:p w:rsidR="007935C9" w:rsidRPr="00BD32F5" w:rsidRDefault="00A0628D" w:rsidP="007935C9">
      <w:pPr>
        <w:rPr>
          <w:b/>
        </w:rPr>
      </w:pPr>
      <w:r w:rsidRPr="00BD32F5">
        <w:rPr>
          <w:b/>
        </w:rPr>
        <w:t>Recommandation</w:t>
      </w:r>
      <w:r w:rsidR="007935C9" w:rsidRPr="00BD32F5">
        <w:rPr>
          <w:b/>
        </w:rPr>
        <w:t>s</w:t>
      </w:r>
      <w:r w:rsidRPr="00BD32F5">
        <w:rPr>
          <w:b/>
        </w:rPr>
        <w:t xml:space="preserve"> : </w:t>
      </w:r>
    </w:p>
    <w:p w:rsidR="007516DB" w:rsidRDefault="00571399" w:rsidP="007D7E7B">
      <w:pPr>
        <w:pStyle w:val="encadre"/>
        <w:numPr>
          <w:ilvl w:val="0"/>
          <w:numId w:val="8"/>
        </w:numPr>
      </w:pPr>
      <w:r>
        <w:t>Q</w:t>
      </w:r>
      <w:r w:rsidR="00A0628D" w:rsidRPr="007935C9">
        <w:t xml:space="preserve">ue les différentes </w:t>
      </w:r>
      <w:r>
        <w:t xml:space="preserve">institutions publiques </w:t>
      </w:r>
      <w:r w:rsidR="00A0628D" w:rsidRPr="007935C9">
        <w:t xml:space="preserve">identifient les </w:t>
      </w:r>
      <w:r w:rsidR="00BD32F5">
        <w:t xml:space="preserve">édifices </w:t>
      </w:r>
      <w:r w:rsidR="00BE22A8" w:rsidRPr="007935C9">
        <w:t>« </w:t>
      </w:r>
      <w:r w:rsidR="00A0628D" w:rsidRPr="007935C9">
        <w:t>excédentaires</w:t>
      </w:r>
      <w:r w:rsidR="00BE22A8" w:rsidRPr="007935C9">
        <w:t> »</w:t>
      </w:r>
      <w:r w:rsidR="00BD32F5">
        <w:t xml:space="preserve"> et les locaux vacants</w:t>
      </w:r>
      <w:r w:rsidR="00A0628D" w:rsidRPr="007935C9">
        <w:t xml:space="preserve">, </w:t>
      </w:r>
      <w:r w:rsidR="0042121E">
        <w:t xml:space="preserve">ainsi que les espaces accessibles </w:t>
      </w:r>
      <w:r w:rsidR="00A0628D" w:rsidRPr="007935C9">
        <w:t>susceptibles d’accueillir des organismes et</w:t>
      </w:r>
      <w:r w:rsidR="007516DB">
        <w:t xml:space="preserve"> des activités communautaires. </w:t>
      </w:r>
    </w:p>
    <w:p w:rsidR="00A0628D" w:rsidRPr="007935C9" w:rsidRDefault="007516DB" w:rsidP="007D7E7B">
      <w:pPr>
        <w:pStyle w:val="encadre"/>
        <w:numPr>
          <w:ilvl w:val="0"/>
          <w:numId w:val="8"/>
        </w:numPr>
      </w:pPr>
      <w:r>
        <w:t>Q</w:t>
      </w:r>
      <w:r w:rsidR="00A0628D" w:rsidRPr="007935C9">
        <w:t xml:space="preserve">u’un fonds d’urgence soit </w:t>
      </w:r>
      <w:r>
        <w:t xml:space="preserve">mis en place </w:t>
      </w:r>
      <w:r w:rsidR="00A0628D" w:rsidRPr="007935C9">
        <w:t xml:space="preserve">pour les organismes qui </w:t>
      </w:r>
      <w:r w:rsidR="0080483D" w:rsidRPr="007935C9">
        <w:t xml:space="preserve">rencontrent des difficultés relatives </w:t>
      </w:r>
      <w:r w:rsidR="00BD32F5">
        <w:t xml:space="preserve">à leurs </w:t>
      </w:r>
      <w:r w:rsidR="00A0628D" w:rsidRPr="007935C9">
        <w:t>locaux</w:t>
      </w:r>
      <w:r w:rsidR="0080483D" w:rsidRPr="007935C9">
        <w:t xml:space="preserve"> (ex. : éviction, déménagement ou travaux imprévus, etc.)</w:t>
      </w:r>
      <w:r w:rsidR="00A0628D" w:rsidRPr="007935C9">
        <w:t xml:space="preserve">. </w:t>
      </w:r>
    </w:p>
    <w:p w:rsidR="00A0628D" w:rsidRPr="007935C9" w:rsidRDefault="00A0628D" w:rsidP="007D7E7B">
      <w:pPr>
        <w:pStyle w:val="encadre"/>
        <w:numPr>
          <w:ilvl w:val="0"/>
          <w:numId w:val="8"/>
        </w:numPr>
      </w:pPr>
      <w:r w:rsidRPr="007935C9">
        <w:t xml:space="preserve">Que les projets de développement immobilier à Montréal, portés par les instances gouvernementales, </w:t>
      </w:r>
      <w:r w:rsidR="00D527B5">
        <w:t>respectent les normes et les bonnes pratiques en matière d’accessibilité universelle, et qu’</w:t>
      </w:r>
      <w:r w:rsidRPr="007935C9">
        <w:t xml:space="preserve">une proportion d’espaces </w:t>
      </w:r>
      <w:r w:rsidR="0080483D" w:rsidRPr="007935C9">
        <w:t>à louer ou à acheter</w:t>
      </w:r>
      <w:r w:rsidR="00D527B5">
        <w:t xml:space="preserve"> soit réservée aux organismes communautaires</w:t>
      </w:r>
      <w:r w:rsidRPr="007935C9">
        <w:t xml:space="preserve">. </w:t>
      </w:r>
    </w:p>
    <w:p w:rsidR="00A0628D" w:rsidRPr="007935C9" w:rsidRDefault="00A0628D" w:rsidP="007D7E7B">
      <w:pPr>
        <w:pStyle w:val="encadre"/>
        <w:numPr>
          <w:ilvl w:val="0"/>
          <w:numId w:val="8"/>
        </w:numPr>
      </w:pPr>
      <w:r w:rsidRPr="007935C9">
        <w:lastRenderedPageBreak/>
        <w:t>Que des fonds d'infrastructure soient disponibles pour répondre aux différents besoins des organismes</w:t>
      </w:r>
      <w:r w:rsidR="00BD32F5">
        <w:t xml:space="preserve"> communautaires </w:t>
      </w:r>
      <w:r w:rsidRPr="007935C9">
        <w:t>: améliorations locatives, acquisition ou rénovation de bâtiments, mise aux normes en matière d’accessibilité universelle</w:t>
      </w:r>
      <w:bookmarkStart w:id="17" w:name="_heading=h.gjdgxs" w:colFirst="0" w:colLast="0"/>
      <w:bookmarkEnd w:id="17"/>
      <w:r w:rsidRPr="007935C9">
        <w:t>, etc.</w:t>
      </w:r>
    </w:p>
    <w:p w:rsidR="00A0628D" w:rsidRPr="007935C9" w:rsidRDefault="00A0628D" w:rsidP="007D7E7B">
      <w:pPr>
        <w:pStyle w:val="encadre"/>
        <w:numPr>
          <w:ilvl w:val="0"/>
          <w:numId w:val="8"/>
        </w:numPr>
      </w:pPr>
      <w:r w:rsidRPr="007935C9">
        <w:t>Que les organismes communautaire</w:t>
      </w:r>
      <w:r w:rsidR="007516DB">
        <w:t>s</w:t>
      </w:r>
      <w:r w:rsidRPr="007935C9">
        <w:t xml:space="preserve">, propriétaires ou locataires, soient exemptés des taxes foncières et commerciales. </w:t>
      </w:r>
    </w:p>
    <w:p w:rsidR="0075306C" w:rsidRPr="007935C9" w:rsidRDefault="0075306C" w:rsidP="007D7E7B">
      <w:pPr>
        <w:pStyle w:val="encadre"/>
        <w:numPr>
          <w:ilvl w:val="0"/>
          <w:numId w:val="8"/>
        </w:numPr>
      </w:pPr>
      <w:r w:rsidRPr="007935C9">
        <w:t xml:space="preserve">Que les frais </w:t>
      </w:r>
      <w:r w:rsidR="00E941E9" w:rsidRPr="007935C9">
        <w:t xml:space="preserve">supplémentaires relatifs à l’accessibilité des locaux </w:t>
      </w:r>
      <w:r w:rsidR="00D52AAE">
        <w:t xml:space="preserve">(travaux de mise en accessibilité, location d’espaces accessibles pour la tenue d’activités inclusives, etc.) </w:t>
      </w:r>
      <w:r w:rsidR="00E941E9" w:rsidRPr="007935C9">
        <w:t xml:space="preserve">soient considérés comme une mesure d’accommodement pour répondre aux besoins des personnes ayant des limitations fonctionnelles. </w:t>
      </w:r>
    </w:p>
    <w:p w:rsidR="00CE4834" w:rsidRDefault="00CE4834" w:rsidP="00CE4834">
      <w:pPr>
        <w:pStyle w:val="Heading2"/>
      </w:pPr>
      <w:bookmarkStart w:id="18" w:name="_Toc26543497"/>
      <w:r>
        <w:t>Financement des organismes communautaires</w:t>
      </w:r>
      <w:bookmarkEnd w:id="18"/>
    </w:p>
    <w:p w:rsidR="00F50F5F" w:rsidRPr="00F50F5F" w:rsidRDefault="00F50F5F" w:rsidP="00F50F5F">
      <w:r w:rsidRPr="00F50F5F">
        <w:t>Dans les derniers mois, le Gouvernement du Québec a procédé à une hausse significative du soutien financier octroyé à certains organismes communautaire</w:t>
      </w:r>
      <w:r w:rsidR="00D52AAE">
        <w:t>s</w:t>
      </w:r>
      <w:r w:rsidRPr="00F50F5F">
        <w:t xml:space="preserve">, notamment par une bonification du Programme de soutien aux organismes communautaires (PSOC) du ministère de la Santé et des Services sociaux (MSSS), ainsi que du programme de soutien financier du Secrétariat à l’action communautaire autonome et aux initiatives sociales (SACAIS) du ministère du Travail, de l’Emploi et de la Solidarité sociale (MTESS). Toutefois, le financement à la mission globale reste un enjeu majeur pour un grand nombre d’organismes d’action communautaire. </w:t>
      </w:r>
    </w:p>
    <w:p w:rsidR="00714408" w:rsidRDefault="0068320F" w:rsidP="0068320F">
      <w:pPr>
        <w:pStyle w:val="Heading3"/>
      </w:pPr>
      <w:r>
        <w:t>Indexation</w:t>
      </w:r>
    </w:p>
    <w:p w:rsidR="00CF115F" w:rsidRDefault="00CF115F" w:rsidP="00507D1D">
      <w:r>
        <w:t xml:space="preserve">À l’heure actuelle, les différents programmes de </w:t>
      </w:r>
      <w:r w:rsidR="0068320F">
        <w:t xml:space="preserve">soutien financier </w:t>
      </w:r>
      <w:r w:rsidR="00493BA6">
        <w:t xml:space="preserve">du Gouvernement du Québec </w:t>
      </w:r>
      <w:r>
        <w:t xml:space="preserve">ne gèrent pas uniformément </w:t>
      </w:r>
      <w:r w:rsidR="00493BA6">
        <w:t xml:space="preserve">l’indexation du financement </w:t>
      </w:r>
      <w:r w:rsidR="00100CFF">
        <w:t xml:space="preserve">à la mission </w:t>
      </w:r>
      <w:r w:rsidR="00493BA6">
        <w:t>des organismes communautaire</w:t>
      </w:r>
      <w:r w:rsidR="00D52AAE">
        <w:t>s</w:t>
      </w:r>
      <w:r w:rsidR="00493BA6">
        <w:t>. Par exemple, a</w:t>
      </w:r>
      <w:r>
        <w:t>lors que le MTESS vient d’</w:t>
      </w:r>
      <w:r w:rsidR="00932E85">
        <w:t>annoncer</w:t>
      </w:r>
      <w:r>
        <w:t xml:space="preserve"> une indexation annuelle de 1</w:t>
      </w:r>
      <w:r w:rsidR="00F5331A">
        <w:t> </w:t>
      </w:r>
      <w:r>
        <w:t xml:space="preserve">% pour les organismes </w:t>
      </w:r>
      <w:r w:rsidR="005422F5">
        <w:t xml:space="preserve">de défense des droits </w:t>
      </w:r>
      <w:r>
        <w:t>financés par le SACAIS</w:t>
      </w:r>
      <w:r w:rsidR="00C84311">
        <w:t xml:space="preserve">, qui n’avaient </w:t>
      </w:r>
      <w:r w:rsidR="00493BA6">
        <w:t xml:space="preserve">par ailleurs </w:t>
      </w:r>
      <w:r w:rsidR="00C84311">
        <w:t xml:space="preserve">jamais bénéficié d’indexation depuis la mise en place </w:t>
      </w:r>
      <w:r w:rsidR="005422F5">
        <w:t xml:space="preserve">du </w:t>
      </w:r>
      <w:r w:rsidR="00C84311">
        <w:t>programme, les organismes financés par le PSOC bénéficient</w:t>
      </w:r>
      <w:r w:rsidR="00493BA6">
        <w:t>, quant à eux,</w:t>
      </w:r>
      <w:r w:rsidR="00C84311">
        <w:t xml:space="preserve"> d’une indexation annuelle calcu</w:t>
      </w:r>
      <w:r w:rsidR="00792EAD">
        <w:t xml:space="preserve">lée sur la base de </w:t>
      </w:r>
      <w:r w:rsidR="002B255B">
        <w:t xml:space="preserve">l’indice des prix à la consommation (IPC), soit </w:t>
      </w:r>
      <w:r w:rsidR="00792EAD">
        <w:t>1.8</w:t>
      </w:r>
      <w:r w:rsidR="00F5331A">
        <w:t> </w:t>
      </w:r>
      <w:r w:rsidR="00792EAD">
        <w:t xml:space="preserve">% pour 2018-2019. </w:t>
      </w:r>
    </w:p>
    <w:p w:rsidR="007A012C" w:rsidRDefault="001860E3" w:rsidP="00507D1D">
      <w:r>
        <w:t>Au demeurant</w:t>
      </w:r>
      <w:r w:rsidR="00E97A60">
        <w:t xml:space="preserve">, l’absence ou l’insuffisance de la </w:t>
      </w:r>
      <w:r w:rsidR="00211A5B">
        <w:t xml:space="preserve">compensation </w:t>
      </w:r>
      <w:r w:rsidR="00E97A60">
        <w:t xml:space="preserve">de l’augmentation des frais de fonctionnement dans le financement annuel à la mission </w:t>
      </w:r>
      <w:r w:rsidR="00BE1ECE">
        <w:t xml:space="preserve">des </w:t>
      </w:r>
      <w:r w:rsidR="00E97A60">
        <w:t>organismes communautaire</w:t>
      </w:r>
      <w:r w:rsidR="00BE275A">
        <w:t>s</w:t>
      </w:r>
      <w:r w:rsidR="00E97A60">
        <w:t xml:space="preserve">, les </w:t>
      </w:r>
      <w:r>
        <w:t xml:space="preserve">contraint </w:t>
      </w:r>
      <w:r w:rsidR="00E97A60">
        <w:t xml:space="preserve">à </w:t>
      </w:r>
      <w:r w:rsidR="00BE1ECE">
        <w:t xml:space="preserve">diminuer </w:t>
      </w:r>
      <w:r>
        <w:t>les heures de travail des équipes</w:t>
      </w:r>
      <w:r w:rsidR="00BE1ECE">
        <w:t>, à ne pas augmenter les salaires, ou encore,</w:t>
      </w:r>
      <w:r>
        <w:t xml:space="preserve"> </w:t>
      </w:r>
      <w:r w:rsidR="00BE1ECE">
        <w:t xml:space="preserve">à restreindre </w:t>
      </w:r>
      <w:r>
        <w:t xml:space="preserve">leur </w:t>
      </w:r>
      <w:r w:rsidR="00BE1ECE">
        <w:t xml:space="preserve">offre de services, alors même que les besoins des membres sont en croissance continue. </w:t>
      </w:r>
    </w:p>
    <w:p w:rsidR="002F080D" w:rsidRDefault="007A012C" w:rsidP="00507D1D">
      <w:r>
        <w:lastRenderedPageBreak/>
        <w:t xml:space="preserve">En outre, les organismes qui </w:t>
      </w:r>
      <w:r w:rsidR="0055193D">
        <w:t>représentent l</w:t>
      </w:r>
      <w:r>
        <w:t xml:space="preserve">es personnes ayant des limitations fonctionnelles consacrent une partie importante de leurs revenus </w:t>
      </w:r>
      <w:r w:rsidR="008E56AC">
        <w:t xml:space="preserve">au financement des </w:t>
      </w:r>
      <w:r w:rsidR="00BE275A">
        <w:t>mesures d’</w:t>
      </w:r>
      <w:r w:rsidR="008E56AC">
        <w:t xml:space="preserve">accommodement nécessaires à la participation de leurs membres à </w:t>
      </w:r>
      <w:r w:rsidR="0055193D">
        <w:t xml:space="preserve">leur </w:t>
      </w:r>
      <w:r w:rsidR="008E56AC">
        <w:t>vie associative, et ces montants tendent à augmenter avec les besoins</w:t>
      </w:r>
      <w:r w:rsidR="00211A5B">
        <w:t xml:space="preserve"> des personnes, notamment dans un contexte de vieillissement de la population. </w:t>
      </w:r>
    </w:p>
    <w:p w:rsidR="00BE275A" w:rsidRPr="00BE275A" w:rsidRDefault="00493BA6" w:rsidP="00BE275A">
      <w:pPr>
        <w:rPr>
          <w:b/>
        </w:rPr>
      </w:pPr>
      <w:r w:rsidRPr="00BE275A">
        <w:rPr>
          <w:b/>
        </w:rPr>
        <w:t xml:space="preserve">Recommandation : </w:t>
      </w:r>
    </w:p>
    <w:p w:rsidR="008E6476" w:rsidRPr="00BE275A" w:rsidRDefault="008E6476" w:rsidP="007D7E7B">
      <w:pPr>
        <w:pStyle w:val="encadre"/>
        <w:numPr>
          <w:ilvl w:val="0"/>
          <w:numId w:val="8"/>
        </w:numPr>
      </w:pPr>
      <w:r w:rsidRPr="00BE275A">
        <w:t>Que le financement à la mission des organismes communautaire</w:t>
      </w:r>
      <w:r w:rsidR="00BE275A">
        <w:t>s</w:t>
      </w:r>
      <w:r w:rsidRPr="00BE275A">
        <w:t xml:space="preserve"> soit indexé annuellement</w:t>
      </w:r>
      <w:r w:rsidR="003F141E" w:rsidRPr="00BE275A">
        <w:t>,</w:t>
      </w:r>
      <w:r w:rsidRPr="00BE275A">
        <w:t xml:space="preserve"> </w:t>
      </w:r>
      <w:r w:rsidR="00066246">
        <w:t xml:space="preserve">selon </w:t>
      </w:r>
      <w:r w:rsidRPr="00BE275A">
        <w:t>l’augmentati</w:t>
      </w:r>
      <w:r w:rsidR="00F5331A" w:rsidRPr="00BE275A">
        <w:t xml:space="preserve">on des coûts de fonctionnement, </w:t>
      </w:r>
      <w:r w:rsidR="00AF1175" w:rsidRPr="00BE275A">
        <w:t xml:space="preserve">et ce, pour tous les </w:t>
      </w:r>
      <w:r w:rsidR="00F5331A" w:rsidRPr="00BE275A">
        <w:t>programme</w:t>
      </w:r>
      <w:r w:rsidR="00AF1175" w:rsidRPr="00BE275A">
        <w:t>s</w:t>
      </w:r>
      <w:r w:rsidR="00066246">
        <w:t xml:space="preserve"> de financement à la mission</w:t>
      </w:r>
      <w:r w:rsidR="00AF1175" w:rsidRPr="00BE275A">
        <w:t xml:space="preserve">. </w:t>
      </w:r>
    </w:p>
    <w:p w:rsidR="00A6485B" w:rsidRDefault="00346896" w:rsidP="00077CB2">
      <w:pPr>
        <w:pStyle w:val="Heading3"/>
      </w:pPr>
      <w:r>
        <w:t>Diversification des sources de financement</w:t>
      </w:r>
    </w:p>
    <w:p w:rsidR="0046408A" w:rsidRDefault="0046408A" w:rsidP="00507D1D">
      <w:r>
        <w:t>Certains organismes communautaire</w:t>
      </w:r>
      <w:r w:rsidR="008D556C">
        <w:t>s</w:t>
      </w:r>
      <w:r>
        <w:t xml:space="preserve">, notamment les regroupements </w:t>
      </w:r>
      <w:r w:rsidR="006F7C16">
        <w:t xml:space="preserve">d’organismes, </w:t>
      </w:r>
      <w:r>
        <w:t xml:space="preserve">qui n’offrent pas de services directs à la population, et qui n’ont généralement pas de numéro de charité, ont de la difficulté à obtenir du </w:t>
      </w:r>
      <w:r w:rsidR="00ED3A87">
        <w:t xml:space="preserve">financement </w:t>
      </w:r>
      <w:r>
        <w:t xml:space="preserve">de fondations ou du secteur privé. En outre, </w:t>
      </w:r>
      <w:r w:rsidR="00C531BF">
        <w:t xml:space="preserve">les </w:t>
      </w:r>
      <w:r>
        <w:t>cotisation</w:t>
      </w:r>
      <w:r w:rsidR="00C531BF">
        <w:t>s</w:t>
      </w:r>
      <w:r>
        <w:t xml:space="preserve"> des membres des regroupements </w:t>
      </w:r>
      <w:r w:rsidR="00BF767E">
        <w:t>(</w:t>
      </w:r>
      <w:r w:rsidR="00ED3A87">
        <w:t xml:space="preserve">principalement </w:t>
      </w:r>
      <w:r w:rsidR="00BF767E">
        <w:t>des organismes communautaire</w:t>
      </w:r>
      <w:r w:rsidR="008D556C">
        <w:t>s</w:t>
      </w:r>
      <w:r w:rsidR="00BF767E">
        <w:t>) ou des membres des organismes de base (généralement des personnes vulnérables</w:t>
      </w:r>
      <w:r w:rsidR="00F5331A">
        <w:t>,</w:t>
      </w:r>
      <w:r w:rsidR="00211A5B">
        <w:t xml:space="preserve"> à faibles revenus</w:t>
      </w:r>
      <w:r w:rsidR="00BF767E">
        <w:t xml:space="preserve">) </w:t>
      </w:r>
      <w:r w:rsidR="00C531BF">
        <w:t xml:space="preserve">sont </w:t>
      </w:r>
      <w:r w:rsidR="008D43A4">
        <w:t>souvent symbolique</w:t>
      </w:r>
      <w:r w:rsidR="00C531BF">
        <w:t>s</w:t>
      </w:r>
      <w:r w:rsidR="00BF767E">
        <w:t>, et ne peu</w:t>
      </w:r>
      <w:r w:rsidR="00C531BF">
        <w:t>ven</w:t>
      </w:r>
      <w:r w:rsidR="00BF767E">
        <w:t>t pas être considéré</w:t>
      </w:r>
      <w:r w:rsidR="00C531BF">
        <w:t>es</w:t>
      </w:r>
      <w:r w:rsidR="00BF767E">
        <w:t xml:space="preserve"> comme une source de revenu</w:t>
      </w:r>
      <w:r w:rsidR="008D43A4">
        <w:t>s</w:t>
      </w:r>
      <w:r w:rsidR="00BF767E">
        <w:t xml:space="preserve"> significative. </w:t>
      </w:r>
      <w:r w:rsidR="002C6E6F">
        <w:t>Du reste</w:t>
      </w:r>
      <w:r w:rsidR="00BF767E">
        <w:t>, les revenus de ces organismes proviennent habituellement</w:t>
      </w:r>
      <w:r w:rsidR="00C80CA7">
        <w:t xml:space="preserve">, en tout ou </w:t>
      </w:r>
      <w:r w:rsidR="0064450C">
        <w:t xml:space="preserve">en </w:t>
      </w:r>
      <w:r w:rsidR="00C80CA7">
        <w:t xml:space="preserve">partie, </w:t>
      </w:r>
      <w:r w:rsidR="00BF767E">
        <w:t>de programmes de subvention publi</w:t>
      </w:r>
      <w:r w:rsidR="003E2122">
        <w:t>c</w:t>
      </w:r>
      <w:r w:rsidR="00BF767E">
        <w:t>s</w:t>
      </w:r>
      <w:r w:rsidR="00077CB2">
        <w:t xml:space="preserve"> (</w:t>
      </w:r>
      <w:r w:rsidR="009E2575">
        <w:t xml:space="preserve">soutien à </w:t>
      </w:r>
      <w:r w:rsidR="00077CB2">
        <w:t xml:space="preserve">la </w:t>
      </w:r>
      <w:r w:rsidR="009E2575">
        <w:t xml:space="preserve">mission </w:t>
      </w:r>
      <w:r w:rsidR="00AF1175">
        <w:t xml:space="preserve">globale </w:t>
      </w:r>
      <w:r w:rsidR="009E2575">
        <w:t>ou réalisation de projets ponctuels</w:t>
      </w:r>
      <w:r w:rsidR="00077CB2">
        <w:t>),</w:t>
      </w:r>
      <w:r w:rsidR="009E2575">
        <w:t xml:space="preserve"> ou encore</w:t>
      </w:r>
      <w:r w:rsidR="00077CB2">
        <w:t>,</w:t>
      </w:r>
      <w:r w:rsidR="009E2575">
        <w:t xml:space="preserve"> d’ententes de services avec des organisations publiques</w:t>
      </w:r>
      <w:r w:rsidR="008D43A4">
        <w:t xml:space="preserve">. </w:t>
      </w:r>
    </w:p>
    <w:p w:rsidR="00ED3A87" w:rsidRDefault="002C6E6F" w:rsidP="00507D1D">
      <w:r>
        <w:t xml:space="preserve">Aussi, force est de constater que </w:t>
      </w:r>
      <w:r w:rsidR="00797109">
        <w:t xml:space="preserve">ces </w:t>
      </w:r>
      <w:r w:rsidR="00ED3A87">
        <w:t xml:space="preserve">organismes </w:t>
      </w:r>
      <w:r w:rsidR="00797109">
        <w:t xml:space="preserve">ne pourront jamais </w:t>
      </w:r>
      <w:r w:rsidR="007D2E33">
        <w:t xml:space="preserve">atteindre le </w:t>
      </w:r>
      <w:r w:rsidR="00593705">
        <w:t xml:space="preserve">ratio </w:t>
      </w:r>
      <w:r w:rsidR="00067F4F">
        <w:t xml:space="preserve">de </w:t>
      </w:r>
      <w:r w:rsidR="00797109">
        <w:t>10</w:t>
      </w:r>
      <w:r w:rsidR="00F5331A">
        <w:t> %</w:t>
      </w:r>
      <w:r w:rsidR="00797109">
        <w:t xml:space="preserve"> </w:t>
      </w:r>
      <w:r w:rsidR="007D2E33">
        <w:t>ou</w:t>
      </w:r>
      <w:r w:rsidR="00797109">
        <w:t xml:space="preserve"> 20</w:t>
      </w:r>
      <w:r w:rsidR="00F5331A">
        <w:t> </w:t>
      </w:r>
      <w:r w:rsidR="00797109">
        <w:t xml:space="preserve">% </w:t>
      </w:r>
      <w:r w:rsidR="007D2E33">
        <w:t xml:space="preserve">de </w:t>
      </w:r>
      <w:r w:rsidR="00067F4F">
        <w:t xml:space="preserve">financement </w:t>
      </w:r>
      <w:r w:rsidR="002B255B">
        <w:t>« </w:t>
      </w:r>
      <w:r w:rsidR="007D2E33">
        <w:t>non public</w:t>
      </w:r>
      <w:r w:rsidR="002B255B">
        <w:t> »</w:t>
      </w:r>
      <w:r w:rsidR="007D2E33">
        <w:t xml:space="preserve"> préconisé </w:t>
      </w:r>
      <w:r w:rsidR="00FD5AF9">
        <w:t xml:space="preserve">par </w:t>
      </w:r>
      <w:r w:rsidR="007D2E33">
        <w:t xml:space="preserve">certains programmes de soutien financier. </w:t>
      </w:r>
    </w:p>
    <w:p w:rsidR="008D556C" w:rsidRPr="008D556C" w:rsidRDefault="009E2575" w:rsidP="008D556C">
      <w:pPr>
        <w:rPr>
          <w:b/>
        </w:rPr>
      </w:pPr>
      <w:r w:rsidRPr="008D556C">
        <w:rPr>
          <w:b/>
        </w:rPr>
        <w:t xml:space="preserve">Recommandation : </w:t>
      </w:r>
    </w:p>
    <w:p w:rsidR="008420EF" w:rsidRPr="008D556C" w:rsidRDefault="00996795" w:rsidP="007D7E7B">
      <w:pPr>
        <w:pStyle w:val="encadre"/>
        <w:numPr>
          <w:ilvl w:val="0"/>
          <w:numId w:val="8"/>
        </w:numPr>
      </w:pPr>
      <w:r w:rsidRPr="008D556C">
        <w:t>Que les revenus des organismes communautaire</w:t>
      </w:r>
      <w:r w:rsidR="008D556C">
        <w:t>s</w:t>
      </w:r>
      <w:r w:rsidRPr="008D556C">
        <w:t xml:space="preserve"> puissent </w:t>
      </w:r>
      <w:r w:rsidR="00C80CA7" w:rsidRPr="008D556C">
        <w:t>être exclusivement constitués de fonds publics</w:t>
      </w:r>
      <w:r w:rsidRPr="008D556C">
        <w:t>, notamment pour les organismes qui n’offrent pas de services directs à la population, comme les regroupements</w:t>
      </w:r>
      <w:r w:rsidR="00C80CA7" w:rsidRPr="008D556C">
        <w:t xml:space="preserve"> d’organismes</w:t>
      </w:r>
      <w:r w:rsidRPr="008D556C">
        <w:t xml:space="preserve">. </w:t>
      </w:r>
    </w:p>
    <w:p w:rsidR="00977B19" w:rsidRDefault="00B00FD7" w:rsidP="00F4150D">
      <w:pPr>
        <w:pStyle w:val="Heading2"/>
      </w:pPr>
      <w:bookmarkStart w:id="19" w:name="_Toc26543498"/>
      <w:r>
        <w:t>R</w:t>
      </w:r>
      <w:r w:rsidR="00050BA2">
        <w:t>ecrutement et ré</w:t>
      </w:r>
      <w:r w:rsidR="00F4150D">
        <w:t xml:space="preserve">tention </w:t>
      </w:r>
      <w:r w:rsidR="00050BA2">
        <w:t>du personnel</w:t>
      </w:r>
      <w:bookmarkEnd w:id="19"/>
    </w:p>
    <w:p w:rsidR="00F4150D" w:rsidRPr="00F4150D" w:rsidRDefault="008E32A0" w:rsidP="00F4150D">
      <w:r>
        <w:t xml:space="preserve">Dans un contexte de </w:t>
      </w:r>
      <w:r w:rsidR="00932E85">
        <w:t>pénurie</w:t>
      </w:r>
      <w:r>
        <w:t xml:space="preserve"> de main d’œuvre, les organismes communautaire</w:t>
      </w:r>
      <w:r w:rsidR="008D556C">
        <w:t>s</w:t>
      </w:r>
      <w:r>
        <w:t xml:space="preserve"> ont de la difficulté à recruter, et surtout, à retenir </w:t>
      </w:r>
      <w:r w:rsidR="00973EA2">
        <w:t xml:space="preserve">un personnel </w:t>
      </w:r>
      <w:r>
        <w:t>qualifié, en raison de</w:t>
      </w:r>
      <w:r w:rsidR="00C877BA">
        <w:t>s</w:t>
      </w:r>
      <w:r>
        <w:t xml:space="preserve"> conditions de travail et de</w:t>
      </w:r>
      <w:r w:rsidR="00C877BA">
        <w:t>s</w:t>
      </w:r>
      <w:r>
        <w:t xml:space="preserve"> salaires peu concurrentiels </w:t>
      </w:r>
      <w:r w:rsidR="00AE68E5">
        <w:t xml:space="preserve">dans </w:t>
      </w:r>
      <w:r>
        <w:t xml:space="preserve">le marché actuel. </w:t>
      </w:r>
      <w:r w:rsidR="001C067F">
        <w:t xml:space="preserve">Cette </w:t>
      </w:r>
      <w:r w:rsidR="001C067F">
        <w:lastRenderedPageBreak/>
        <w:t>difficulté à retenir des personnes compétentes nuit gravement au maintien de l’expertise que les employés de</w:t>
      </w:r>
      <w:r w:rsidR="008D556C">
        <w:t xml:space="preserve"> ce</w:t>
      </w:r>
      <w:r w:rsidR="001C067F">
        <w:t xml:space="preserve">s organismes développent auprès d’une clientèle qui a des besoins particuliers, comme les personnes ayant des limitations fonctionnelles. </w:t>
      </w:r>
    </w:p>
    <w:p w:rsidR="00924949" w:rsidRPr="00924949" w:rsidRDefault="00C877BA" w:rsidP="00924949">
      <w:pPr>
        <w:rPr>
          <w:b/>
        </w:rPr>
      </w:pPr>
      <w:r w:rsidRPr="00924949">
        <w:rPr>
          <w:b/>
        </w:rPr>
        <w:t xml:space="preserve">Recommandation : </w:t>
      </w:r>
    </w:p>
    <w:p w:rsidR="008420EF" w:rsidRPr="00924949" w:rsidRDefault="00661C7D" w:rsidP="007D7E7B">
      <w:pPr>
        <w:pStyle w:val="encadre"/>
        <w:numPr>
          <w:ilvl w:val="0"/>
          <w:numId w:val="8"/>
        </w:numPr>
      </w:pPr>
      <w:r w:rsidRPr="00924949">
        <w:t>Que, d</w:t>
      </w:r>
      <w:r w:rsidR="00E51159" w:rsidRPr="00924949">
        <w:t xml:space="preserve">ans un contexte de </w:t>
      </w:r>
      <w:r w:rsidR="00932E85" w:rsidRPr="00924949">
        <w:t>pénurie</w:t>
      </w:r>
      <w:r w:rsidR="00E51159" w:rsidRPr="00924949">
        <w:t xml:space="preserve"> de main d’œuvre, et dans le but de conserver </w:t>
      </w:r>
      <w:r w:rsidR="00C4676B" w:rsidRPr="00924949">
        <w:t xml:space="preserve">une </w:t>
      </w:r>
      <w:r w:rsidR="00E51159" w:rsidRPr="00924949">
        <w:t xml:space="preserve">expertise </w:t>
      </w:r>
      <w:r w:rsidR="00C4676B" w:rsidRPr="00924949">
        <w:t xml:space="preserve">unique </w:t>
      </w:r>
      <w:r w:rsidR="00E51159" w:rsidRPr="00924949">
        <w:t xml:space="preserve">développée auprès de clientèles spécifiques, </w:t>
      </w:r>
      <w:r w:rsidR="00C877BA" w:rsidRPr="00924949">
        <w:t>les organismes communautaire</w:t>
      </w:r>
      <w:r w:rsidR="00924949">
        <w:t>s</w:t>
      </w:r>
      <w:r w:rsidR="00C877BA" w:rsidRPr="00924949">
        <w:t xml:space="preserve"> reçoivent un soutien financier </w:t>
      </w:r>
      <w:r w:rsidR="00E51159" w:rsidRPr="00924949">
        <w:t xml:space="preserve">récurrent et suffisant, </w:t>
      </w:r>
      <w:r w:rsidR="00847CEE" w:rsidRPr="00924949">
        <w:t>qui leur permet</w:t>
      </w:r>
      <w:r w:rsidR="00404FA5" w:rsidRPr="00924949">
        <w:t>tra</w:t>
      </w:r>
      <w:r w:rsidR="00C877BA" w:rsidRPr="00924949">
        <w:t xml:space="preserve"> d’offrir à leurs employés des </w:t>
      </w:r>
      <w:r w:rsidR="00E51159" w:rsidRPr="00924949">
        <w:t xml:space="preserve">conditions de travail et des </w:t>
      </w:r>
      <w:r w:rsidR="00C877BA" w:rsidRPr="00924949">
        <w:t>salaires compétitifs</w:t>
      </w:r>
      <w:r w:rsidR="00E51159" w:rsidRPr="00924949">
        <w:t xml:space="preserve">. </w:t>
      </w:r>
    </w:p>
    <w:p w:rsidR="008420EF" w:rsidRDefault="00880998" w:rsidP="00880998">
      <w:pPr>
        <w:pStyle w:val="Heading1"/>
      </w:pPr>
      <w:bookmarkStart w:id="20" w:name="_Toc26543499"/>
      <w:r>
        <w:t>Thématique 2 </w:t>
      </w:r>
      <w:r w:rsidR="00DD753C">
        <w:t>-</w:t>
      </w:r>
      <w:r>
        <w:t xml:space="preserve"> La cohérence de l’intervention gouvernementale</w:t>
      </w:r>
      <w:bookmarkEnd w:id="20"/>
      <w:r>
        <w:t xml:space="preserve"> </w:t>
      </w:r>
    </w:p>
    <w:p w:rsidR="008A2929" w:rsidRDefault="005D382B" w:rsidP="008A2929">
      <w:pPr>
        <w:pStyle w:val="Heading2"/>
      </w:pPr>
      <w:bookmarkStart w:id="21" w:name="_Toc26543500"/>
      <w:r>
        <w:t>Respect des lois et politiques en vigueur</w:t>
      </w:r>
      <w:bookmarkEnd w:id="21"/>
      <w:r>
        <w:t xml:space="preserve"> </w:t>
      </w:r>
    </w:p>
    <w:p w:rsidR="00A73032" w:rsidRDefault="00A73032" w:rsidP="00A73032">
      <w:pPr>
        <w:pStyle w:val="Heading3"/>
      </w:pPr>
      <w:r>
        <w:t>Accès à l’information</w:t>
      </w:r>
    </w:p>
    <w:p w:rsidR="008A2929" w:rsidRDefault="00924949" w:rsidP="008A2929">
      <w:r>
        <w:t>L</w:t>
      </w:r>
      <w:r w:rsidR="008A2929">
        <w:t>es organismes communautaire</w:t>
      </w:r>
      <w:r>
        <w:t>s</w:t>
      </w:r>
      <w:r w:rsidR="008A2929">
        <w:t xml:space="preserve"> qui </w:t>
      </w:r>
      <w:r>
        <w:t>représentent l</w:t>
      </w:r>
      <w:r w:rsidR="008A2929">
        <w:t xml:space="preserve">es personnes ayant des limitations fonctionnelles </w:t>
      </w:r>
      <w:r>
        <w:t xml:space="preserve">doivent prendre </w:t>
      </w:r>
      <w:r w:rsidR="008A2929">
        <w:t xml:space="preserve">part aux consultations et aux discussions préalables à l’adoption des lois, stratégies et politiques publiques qui pourraient avoir un impact sur ces personnes. </w:t>
      </w:r>
    </w:p>
    <w:p w:rsidR="008A2929" w:rsidRDefault="008A2929" w:rsidP="008A2929">
      <w:r>
        <w:t>Pour ce faire, les organisations gouvernementales doivent</w:t>
      </w:r>
      <w:r w:rsidR="0092572F">
        <w:t xml:space="preserve"> s’assurer de rendre accessible</w:t>
      </w:r>
      <w:r>
        <w:t xml:space="preserve"> aux personnes ayant des limitations fonctionnelles tout le processus de consultation (ex. : délais et plateformes de consultation, lieu des rencontres et des séances d</w:t>
      </w:r>
      <w:r w:rsidR="0092572F">
        <w:t>’information et de consultation</w:t>
      </w:r>
      <w:r>
        <w:t xml:space="preserve"> publiques, communications, etc.), tel que décrit dans le </w:t>
      </w:r>
      <w:hyperlink r:id="rId11" w:history="1">
        <w:r w:rsidRPr="00FE3395">
          <w:rPr>
            <w:rStyle w:val="Hyperlink"/>
          </w:rPr>
          <w:t xml:space="preserve">mémoire produit par la Confédération des organismes de personnes handicapées du Québec </w:t>
        </w:r>
        <w:r>
          <w:rPr>
            <w:rStyle w:val="Hyperlink"/>
          </w:rPr>
          <w:t xml:space="preserve">(COPHAN) </w:t>
        </w:r>
        <w:r w:rsidRPr="00FE3395">
          <w:rPr>
            <w:rStyle w:val="Hyperlink"/>
          </w:rPr>
          <w:t xml:space="preserve">sur le cadre de référence </w:t>
        </w:r>
        <w:r>
          <w:rPr>
            <w:rStyle w:val="Hyperlink"/>
          </w:rPr>
          <w:t xml:space="preserve">gouvernemental </w:t>
        </w:r>
        <w:r w:rsidRPr="00FE3395">
          <w:rPr>
            <w:rStyle w:val="Hyperlink"/>
          </w:rPr>
          <w:t>sur la participation publique</w:t>
        </w:r>
      </w:hyperlink>
      <w:r>
        <w:t xml:space="preserve">, en février 2017. </w:t>
      </w:r>
    </w:p>
    <w:p w:rsidR="008A2929" w:rsidRDefault="008A2929" w:rsidP="008A2929">
      <w:r>
        <w:t xml:space="preserve">En outre, conformément à la </w:t>
      </w:r>
      <w:hyperlink r:id="rId12" w:history="1">
        <w:r w:rsidRPr="00025211">
          <w:rPr>
            <w:rStyle w:val="Hyperlink"/>
          </w:rPr>
          <w:t>Politique gouvernementale « L’accès aux documents et aux services offerts au public pour les personnes handicapées »</w:t>
        </w:r>
      </w:hyperlink>
      <w:r>
        <w:t>, toute l’information et la documentation relatives à une consultation, ou essentielles à la compréhension des différents enjeux, doivent être accessibles aux personnes ayant des limitations fonctionnelles</w:t>
      </w:r>
      <w:r w:rsidR="001B450D">
        <w:t xml:space="preserve">. Ceci implique notamment </w:t>
      </w:r>
      <w:r>
        <w:t xml:space="preserve">que les sites Web et les documents téléchargeables </w:t>
      </w:r>
      <w:r w:rsidR="001B450D">
        <w:t xml:space="preserve">du Gouvernement </w:t>
      </w:r>
      <w:r>
        <w:t>respecte</w:t>
      </w:r>
      <w:r w:rsidR="0021506D">
        <w:t>nt</w:t>
      </w:r>
      <w:r>
        <w:t xml:space="preserve"> le </w:t>
      </w:r>
      <w:hyperlink r:id="rId13" w:history="1">
        <w:r w:rsidRPr="00945CFC">
          <w:rPr>
            <w:rStyle w:val="Hyperlink"/>
          </w:rPr>
          <w:t>Standard sur l'accessibilité des sites Web (SGQRI 008 2.0)</w:t>
        </w:r>
      </w:hyperlink>
      <w:r>
        <w:t xml:space="preserve">. </w:t>
      </w:r>
    </w:p>
    <w:p w:rsidR="008A2929" w:rsidRDefault="008A2929" w:rsidP="008A2929">
      <w:r>
        <w:lastRenderedPageBreak/>
        <w:t>À titre d’e</w:t>
      </w:r>
      <w:r w:rsidR="0092572F">
        <w:t>xemple, la seule version de la P</w:t>
      </w:r>
      <w:r>
        <w:t xml:space="preserve">olitique gouvernementale intitulée « L'action communautaire : une contribution essentielle à l'exercice de la citoyenneté et au développement social du Québec », actuellement disponible sur le </w:t>
      </w:r>
      <w:hyperlink r:id="rId14" w:history="1">
        <w:r w:rsidRPr="00230D77">
          <w:rPr>
            <w:rStyle w:val="Hyperlink"/>
          </w:rPr>
          <w:t>site du MTESS</w:t>
        </w:r>
      </w:hyperlink>
      <w:r>
        <w:t xml:space="preserve">, n’est pas accessible aux personnes ayant une déficience visuelle, qui utilisent un lecteur d’écran (avec plage braille ou synthèse vocale). </w:t>
      </w:r>
      <w:r w:rsidR="001B450D">
        <w:t xml:space="preserve">L’inaccessibilité de ce document a ainsi contribué à </w:t>
      </w:r>
      <w:r w:rsidR="00667CEE">
        <w:t xml:space="preserve">compliquer </w:t>
      </w:r>
      <w:r w:rsidR="001B450D">
        <w:t xml:space="preserve">le présent exercice de consultation </w:t>
      </w:r>
      <w:r w:rsidR="00667CEE">
        <w:t xml:space="preserve">pour les personnes ayant une déficience visuelle, qui n’ont pas eu accès à toute la documentation nécessaire. </w:t>
      </w:r>
    </w:p>
    <w:p w:rsidR="0021506D" w:rsidRPr="0021506D" w:rsidRDefault="008A2929" w:rsidP="0021506D">
      <w:pPr>
        <w:rPr>
          <w:b/>
        </w:rPr>
      </w:pPr>
      <w:r w:rsidRPr="0021506D">
        <w:rPr>
          <w:b/>
        </w:rPr>
        <w:t xml:space="preserve">Recommandation : </w:t>
      </w:r>
    </w:p>
    <w:p w:rsidR="008A2929" w:rsidRPr="0021506D" w:rsidRDefault="008A2929" w:rsidP="007D7E7B">
      <w:pPr>
        <w:pStyle w:val="encadre"/>
        <w:numPr>
          <w:ilvl w:val="0"/>
          <w:numId w:val="8"/>
        </w:numPr>
      </w:pPr>
      <w:r w:rsidRPr="0021506D">
        <w:t>Que</w:t>
      </w:r>
      <w:r w:rsidR="0092572F" w:rsidRPr="0021506D">
        <w:t>,</w:t>
      </w:r>
      <w:r w:rsidRPr="0021506D">
        <w:t xml:space="preserve"> dan</w:t>
      </w:r>
      <w:r w:rsidR="00847CEE" w:rsidRPr="0021506D">
        <w:t>s une perspective d’inclusion, visant la</w:t>
      </w:r>
      <w:r w:rsidRPr="0021506D">
        <w:t xml:space="preserve"> participation sociale des personnes ayant des limitations fonctionnelles et des organismes d’action communautaire </w:t>
      </w:r>
      <w:r w:rsidR="000251B4">
        <w:t xml:space="preserve">qui </w:t>
      </w:r>
      <w:r w:rsidR="0092572F" w:rsidRPr="0021506D">
        <w:t>les représent</w:t>
      </w:r>
      <w:r w:rsidR="000251B4">
        <w:t>e</w:t>
      </w:r>
      <w:r w:rsidRPr="0021506D">
        <w:t>nt, tou</w:t>
      </w:r>
      <w:r w:rsidR="00A73032" w:rsidRPr="0021506D">
        <w:t>te</w:t>
      </w:r>
      <w:r w:rsidRPr="0021506D">
        <w:t xml:space="preserve">s </w:t>
      </w:r>
      <w:r w:rsidR="00A73032" w:rsidRPr="0021506D">
        <w:t xml:space="preserve">les informations et </w:t>
      </w:r>
      <w:r w:rsidRPr="0021506D">
        <w:t xml:space="preserve">documents publics produits par le Gouvernement du Québec respectent les lois, politiques et standards en vigueur, en terme d’accessibilité. </w:t>
      </w:r>
    </w:p>
    <w:p w:rsidR="008A2929" w:rsidRDefault="00DE03DA" w:rsidP="00A73032">
      <w:pPr>
        <w:pStyle w:val="Heading3"/>
      </w:pPr>
      <w:r>
        <w:t xml:space="preserve">Accessibilité des formulaires de demande </w:t>
      </w:r>
      <w:r w:rsidR="000251B4">
        <w:t xml:space="preserve">de reconnaissance et </w:t>
      </w:r>
      <w:r>
        <w:t>de soutien financier et de reddition de comptes</w:t>
      </w:r>
    </w:p>
    <w:p w:rsidR="00DE03DA" w:rsidRDefault="00A73032" w:rsidP="008A2929">
      <w:r>
        <w:t xml:space="preserve">Comme nous l’avons mentionné précédemment, les organismes communautaires </w:t>
      </w:r>
      <w:r w:rsidR="00755FA3">
        <w:t xml:space="preserve">sont des acteurs clés </w:t>
      </w:r>
      <w:r w:rsidR="00ED2363">
        <w:t xml:space="preserve">dans le domaine de </w:t>
      </w:r>
      <w:r w:rsidR="00755FA3">
        <w:t xml:space="preserve">l’emploi des personnes ayant des limitations fonctionnelles. En outre, les demandes </w:t>
      </w:r>
      <w:r w:rsidR="000251B4">
        <w:t xml:space="preserve">de reconnaissance et </w:t>
      </w:r>
      <w:r w:rsidR="00755FA3">
        <w:t xml:space="preserve">de soutien financier et la reddition de comptes font partie intégrante du travail </w:t>
      </w:r>
      <w:r w:rsidR="00ED2363">
        <w:t xml:space="preserve">« quotidien » </w:t>
      </w:r>
      <w:r w:rsidR="00755FA3">
        <w:t>du personnel de</w:t>
      </w:r>
      <w:r w:rsidR="000251B4">
        <w:t xml:space="preserve"> ce</w:t>
      </w:r>
      <w:r w:rsidR="00755FA3">
        <w:t xml:space="preserve">s organismes. </w:t>
      </w:r>
      <w:r w:rsidR="00ED2363">
        <w:t xml:space="preserve">Toutefois, malgré les lois, politiques et standards en vigueur, de nombreux formulaires de demande de soutien financier ou de reddition de comptes, en ligne, en format PDF ou même en Word, ne sont </w:t>
      </w:r>
      <w:r w:rsidR="00BE0A5E">
        <w:t xml:space="preserve">toujours </w:t>
      </w:r>
      <w:r w:rsidR="00ED2363">
        <w:t xml:space="preserve">pas accessibles, et donc </w:t>
      </w:r>
      <w:r w:rsidR="00D41309">
        <w:t xml:space="preserve">difficiles, voire impossibles à compléter par des personnes ayant des limitations fonctionnelles, notamment par les personnes ayant une déficience visuelle. </w:t>
      </w:r>
    </w:p>
    <w:p w:rsidR="0026125E" w:rsidRDefault="0026125E" w:rsidP="008A2929">
      <w:r>
        <w:t xml:space="preserve">De même, les guides qui accompagnent ces formulaires, tout comme les conventions ou ententes qui lient les bailleurs de fonds et les organismes, sont très souvent réalisées dans un format difficile ou impossible à lire par les personnes ayant une déficience visuelle. </w:t>
      </w:r>
    </w:p>
    <w:p w:rsidR="00D41309" w:rsidRDefault="00D41309" w:rsidP="008A2929">
      <w:r>
        <w:t>À titre d’exemple, depuis plusieurs années, DéPhy Montréal et la Confédération des organismes de personnes handicapées du Québec ont multiplié les démarches auprès du MSSS pour que le formulaire PSOC soit utilisable par le</w:t>
      </w:r>
      <w:r w:rsidR="00BE0A5E">
        <w:t xml:space="preserve">s personnes ayant une déficience visuelle qui utilisent un </w:t>
      </w:r>
      <w:r>
        <w:t xml:space="preserve">lecteur d’écran. Bien que certains </w:t>
      </w:r>
      <w:r w:rsidR="00BE0A5E">
        <w:t xml:space="preserve">progrès ont été accomplis dans les deux dernières années, le formulaire 2019-2020 était encore très difficile à compléter par les utilisateurs de lecteurs d’écran. </w:t>
      </w:r>
    </w:p>
    <w:p w:rsidR="007A5ECB" w:rsidRPr="007A5ECB" w:rsidRDefault="00890B13" w:rsidP="007A5ECB">
      <w:pPr>
        <w:rPr>
          <w:b/>
        </w:rPr>
      </w:pPr>
      <w:r w:rsidRPr="007A5ECB">
        <w:rPr>
          <w:b/>
        </w:rPr>
        <w:t xml:space="preserve">Recommandation : </w:t>
      </w:r>
    </w:p>
    <w:p w:rsidR="00BE0A5E" w:rsidRPr="007A5ECB" w:rsidRDefault="00890B13" w:rsidP="007D7E7B">
      <w:pPr>
        <w:pStyle w:val="encadre"/>
        <w:numPr>
          <w:ilvl w:val="0"/>
          <w:numId w:val="8"/>
        </w:numPr>
      </w:pPr>
      <w:r w:rsidRPr="007A5ECB">
        <w:lastRenderedPageBreak/>
        <w:t>Que tous les formulaires de demande de soutien financier et de reddition de comptes, les guides qui les accompagnent</w:t>
      </w:r>
      <w:r w:rsidR="00ED73CF" w:rsidRPr="007A5ECB">
        <w:t xml:space="preserve">, ainsi </w:t>
      </w:r>
      <w:r w:rsidR="006B2198" w:rsidRPr="007A5ECB">
        <w:t>que les</w:t>
      </w:r>
      <w:r w:rsidRPr="007A5ECB">
        <w:t xml:space="preserve"> conventions et ententes qui lient les bailleurs de fonds et les organismes</w:t>
      </w:r>
      <w:r w:rsidR="007A5ECB">
        <w:t>,</w:t>
      </w:r>
      <w:r w:rsidRPr="007A5ECB">
        <w:t xml:space="preserve"> respectent les standards d’accessibilité en vigueur. </w:t>
      </w:r>
    </w:p>
    <w:p w:rsidR="00DE03DA" w:rsidRDefault="00DE03DA" w:rsidP="00DE03DA">
      <w:pPr>
        <w:pStyle w:val="Heading2"/>
      </w:pPr>
      <w:bookmarkStart w:id="22" w:name="_Toc26543501"/>
      <w:r>
        <w:t>Accès aux programmes de financement à portée intersectionnelle</w:t>
      </w:r>
      <w:bookmarkEnd w:id="22"/>
    </w:p>
    <w:p w:rsidR="00C1315A" w:rsidRDefault="00C1315A" w:rsidP="008E36DE">
      <w:r>
        <w:t xml:space="preserve">Les </w:t>
      </w:r>
      <w:r w:rsidR="005A1BF9">
        <w:t>organismes communautaire</w:t>
      </w:r>
      <w:r w:rsidR="007A5ECB">
        <w:t>s</w:t>
      </w:r>
      <w:r w:rsidR="005A1BF9">
        <w:t xml:space="preserve"> </w:t>
      </w:r>
      <w:r>
        <w:t xml:space="preserve">qui représentent les personnes ayant des limitations fonctionnelles </w:t>
      </w:r>
      <w:r w:rsidR="008E36DE">
        <w:t xml:space="preserve">ne sont pas admissibles à la majorité </w:t>
      </w:r>
      <w:r>
        <w:t>de</w:t>
      </w:r>
      <w:r w:rsidR="008E36DE">
        <w:t>s</w:t>
      </w:r>
      <w:r>
        <w:t xml:space="preserve"> programmes de soutien financiers visant à réaliser des projets auprès d’une partie de la population</w:t>
      </w:r>
      <w:r w:rsidR="007A5ECB">
        <w:t>,</w:t>
      </w:r>
      <w:r>
        <w:t xml:space="preserve"> comme les personnes aînées, les enfants, les femmes ou les familles</w:t>
      </w:r>
      <w:r w:rsidR="008E36DE">
        <w:t xml:space="preserve">. </w:t>
      </w:r>
    </w:p>
    <w:p w:rsidR="000224C7" w:rsidRDefault="00DE03DA" w:rsidP="008A2929">
      <w:r>
        <w:t xml:space="preserve">À titre d’exemple, un organisme </w:t>
      </w:r>
      <w:r w:rsidR="007A5ECB">
        <w:t xml:space="preserve">pour les </w:t>
      </w:r>
      <w:r>
        <w:t>personnes ayant des limitations fonctionnelles</w:t>
      </w:r>
      <w:r w:rsidR="008E36DE">
        <w:t xml:space="preserve">, et dont la mission ne mentionne pas explicitement les personnes aînées, </w:t>
      </w:r>
      <w:r>
        <w:t xml:space="preserve">ne sera pas admissible à un programme </w:t>
      </w:r>
      <w:r w:rsidR="00847CEE">
        <w:t>tel que</w:t>
      </w:r>
      <w:r>
        <w:t xml:space="preserve"> </w:t>
      </w:r>
      <w:r w:rsidR="00ED73CF">
        <w:t xml:space="preserve">le programme </w:t>
      </w:r>
      <w:r>
        <w:t xml:space="preserve">« Québec ami des aînés », qui </w:t>
      </w:r>
      <w:r w:rsidR="00A209CF">
        <w:t>soutien</w:t>
      </w:r>
      <w:r w:rsidR="00847CEE">
        <w:t>t</w:t>
      </w:r>
      <w:r w:rsidR="00A209CF">
        <w:t xml:space="preserve"> </w:t>
      </w:r>
      <w:r w:rsidR="00ED73CF">
        <w:t xml:space="preserve">financièrement des </w:t>
      </w:r>
      <w:r w:rsidR="008E36DE">
        <w:t xml:space="preserve">projets qui favorisent la participation sociale et l’amélioration de la qualité de vie des personnes aînées. </w:t>
      </w:r>
      <w:r w:rsidR="00A209CF">
        <w:t>Pourtant, dans un contexte de vieillissement de la populatio</w:t>
      </w:r>
      <w:r w:rsidR="00847CEE">
        <w:t>n, et considérant que la préval</w:t>
      </w:r>
      <w:r w:rsidR="00A209CF">
        <w:t xml:space="preserve">ence du handicap </w:t>
      </w:r>
      <w:r w:rsidR="0092572F">
        <w:t>augmente avec l’âge, de nombreuses</w:t>
      </w:r>
      <w:r w:rsidR="00A209CF">
        <w:t xml:space="preserve"> </w:t>
      </w:r>
      <w:r w:rsidR="0092572F">
        <w:t xml:space="preserve">personnes </w:t>
      </w:r>
      <w:r w:rsidR="00A209CF">
        <w:t>aîné</w:t>
      </w:r>
      <w:r w:rsidR="0092572F">
        <w:t>e</w:t>
      </w:r>
      <w:r w:rsidR="00A209CF">
        <w:t xml:space="preserve">s ont des limitations fonctionnelles, </w:t>
      </w:r>
      <w:r w:rsidR="007B65D2">
        <w:t xml:space="preserve">et un </w:t>
      </w:r>
      <w:r w:rsidR="00A209CF">
        <w:t xml:space="preserve">grand nombre de membres des organismes de base qui offrent des services aux personnes ayant des limitations fonctionnelles sont </w:t>
      </w:r>
      <w:r w:rsidR="00847CEE">
        <w:t>âgés</w:t>
      </w:r>
      <w:r w:rsidR="00A209CF">
        <w:t xml:space="preserve"> de plus de 65 ans. </w:t>
      </w:r>
      <w:r w:rsidR="00226086">
        <w:t xml:space="preserve">En outre, certaines problématiques concernent exclusivement les personnes aînées qui ont des limitations fonctionnelles, ou </w:t>
      </w:r>
      <w:r w:rsidR="000224C7">
        <w:t xml:space="preserve">encore, </w:t>
      </w:r>
      <w:r w:rsidR="00226086">
        <w:t>les personnes ayant des limitations fonctionnelles qui vieillissent</w:t>
      </w:r>
      <w:r w:rsidR="000224C7">
        <w:t xml:space="preserve">. </w:t>
      </w:r>
      <w:r w:rsidR="002D5C03">
        <w:t>Au demeurant, p</w:t>
      </w:r>
      <w:r w:rsidR="000224C7">
        <w:t xml:space="preserve">our intervenir adéquatement auprès de ces personnes, </w:t>
      </w:r>
      <w:r w:rsidR="007B65D2">
        <w:t xml:space="preserve">une </w:t>
      </w:r>
      <w:r w:rsidR="000224C7">
        <w:t xml:space="preserve">expertise </w:t>
      </w:r>
      <w:r w:rsidR="007B65D2">
        <w:t xml:space="preserve">spécifique et </w:t>
      </w:r>
      <w:r w:rsidR="00036EC3">
        <w:t xml:space="preserve">une </w:t>
      </w:r>
      <w:r w:rsidR="002D5C03">
        <w:t xml:space="preserve">connaissance profonde des enjeux et des besoins inhérents </w:t>
      </w:r>
      <w:r w:rsidR="000361A9">
        <w:t xml:space="preserve">à leurs </w:t>
      </w:r>
      <w:r w:rsidR="002D5C03">
        <w:t>limitations</w:t>
      </w:r>
      <w:r w:rsidR="00433FD4">
        <w:t xml:space="preserve">, sont indispensables. </w:t>
      </w:r>
      <w:r w:rsidR="00636855">
        <w:t>Cependant, bien qu’</w:t>
      </w:r>
      <w:r w:rsidR="00B77B5A">
        <w:t xml:space="preserve">obligatoirement </w:t>
      </w:r>
      <w:r w:rsidR="00636855">
        <w:t xml:space="preserve">adaptée à </w:t>
      </w:r>
      <w:r w:rsidR="000361A9">
        <w:t>la limitation</w:t>
      </w:r>
      <w:r w:rsidR="00636855">
        <w:t xml:space="preserve"> de la personne</w:t>
      </w:r>
      <w:r w:rsidR="00B77B5A">
        <w:t xml:space="preserve">, </w:t>
      </w:r>
      <w:r w:rsidR="00636855">
        <w:t>l’approche</w:t>
      </w:r>
      <w:r w:rsidR="00B77B5A">
        <w:t xml:space="preserve"> ne sera pas la même pour une personne aînée que pour un enfant, par exemple. </w:t>
      </w:r>
    </w:p>
    <w:p w:rsidR="00DE03DA" w:rsidRDefault="00433FD4" w:rsidP="008A2929">
      <w:r>
        <w:t>Ainsi, d</w:t>
      </w:r>
      <w:r w:rsidR="00C96D1F">
        <w:t xml:space="preserve">ans une approche intersectionnelle, les organismes </w:t>
      </w:r>
      <w:r w:rsidR="00913746">
        <w:t xml:space="preserve">pour les </w:t>
      </w:r>
      <w:r w:rsidR="00C96D1F">
        <w:t>personnes ayant des limitations fonctionnelles devraient être admissibles aux programme</w:t>
      </w:r>
      <w:r w:rsidR="002F23E5">
        <w:t>s</w:t>
      </w:r>
      <w:r w:rsidR="00C96D1F">
        <w:t xml:space="preserve"> de subvention </w:t>
      </w:r>
      <w:r w:rsidR="00036EC3">
        <w:t xml:space="preserve">pour les personnes aînées, </w:t>
      </w:r>
      <w:r w:rsidR="00C96D1F">
        <w:t>pour les enfants, pour les familles, pour les femmes, etc., pour autant que le</w:t>
      </w:r>
      <w:r>
        <w:t>ur</w:t>
      </w:r>
      <w:r w:rsidR="00C96D1F">
        <w:t xml:space="preserve"> projet s’adresse spécifiquement aux </w:t>
      </w:r>
      <w:r w:rsidR="0092572F">
        <w:t xml:space="preserve">personnes </w:t>
      </w:r>
      <w:r w:rsidR="00C96D1F">
        <w:t>aîné</w:t>
      </w:r>
      <w:r w:rsidR="0092572F">
        <w:t>e</w:t>
      </w:r>
      <w:r w:rsidR="00C96D1F">
        <w:t xml:space="preserve">s, aux enfants, aux familles ou aux femmes en situation de handicap, et </w:t>
      </w:r>
      <w:r w:rsidR="00847CEE">
        <w:t>ce, même si</w:t>
      </w:r>
      <w:r w:rsidR="00C96D1F">
        <w:t xml:space="preserve"> </w:t>
      </w:r>
      <w:r w:rsidR="00036EC3">
        <w:t xml:space="preserve">le libellé de </w:t>
      </w:r>
      <w:r w:rsidR="00913746">
        <w:t xml:space="preserve">leur </w:t>
      </w:r>
      <w:r w:rsidR="00C96D1F">
        <w:t xml:space="preserve">mission n’identifie pas explicitement </w:t>
      </w:r>
      <w:r w:rsidR="00913746">
        <w:t xml:space="preserve">ce type de clientèle. </w:t>
      </w:r>
      <w:r w:rsidR="005821D2">
        <w:t xml:space="preserve">En outre, </w:t>
      </w:r>
      <w:r w:rsidR="00E959E8">
        <w:t xml:space="preserve">une </w:t>
      </w:r>
      <w:r w:rsidR="005821D2">
        <w:t xml:space="preserve">telle possibilité favorisera la mise en place de partenariats entre différents organismes, et permettra de rejoindre </w:t>
      </w:r>
      <w:r w:rsidR="00E959E8">
        <w:t xml:space="preserve">davantage </w:t>
      </w:r>
      <w:r w:rsidR="004142DA">
        <w:t xml:space="preserve">de </w:t>
      </w:r>
      <w:r w:rsidR="005821D2">
        <w:t xml:space="preserve">personnes </w:t>
      </w:r>
      <w:r w:rsidR="00E959E8">
        <w:t xml:space="preserve">concernées </w:t>
      </w:r>
      <w:r w:rsidR="005821D2">
        <w:t xml:space="preserve">par </w:t>
      </w:r>
      <w:r w:rsidR="004142DA">
        <w:t>c</w:t>
      </w:r>
      <w:r w:rsidR="005821D2">
        <w:t xml:space="preserve">es projets. </w:t>
      </w:r>
      <w:r w:rsidR="004142DA">
        <w:t xml:space="preserve">En effet, si l’on reprend l’exemple des personnes aînées, une partie significative des personnes qui ont une déficience visuelle liée à l’âge sont membres d’organismes pour les personnes </w:t>
      </w:r>
      <w:r w:rsidR="004142DA">
        <w:lastRenderedPageBreak/>
        <w:t>aînées, et non d’organismes pour les personnes ayant une déficience visuelle</w:t>
      </w:r>
      <w:r w:rsidR="00E959E8">
        <w:t xml:space="preserve">, car elles ne s’identifient pas comme « personnes handicapées ». </w:t>
      </w:r>
    </w:p>
    <w:p w:rsidR="00AA06F6" w:rsidRDefault="0020164E" w:rsidP="008A2929">
      <w:r>
        <w:t>En conséquence</w:t>
      </w:r>
      <w:r w:rsidR="002D1FFF">
        <w:t>, c</w:t>
      </w:r>
      <w:r w:rsidR="00C96D1F">
        <w:t xml:space="preserve">onsidérant que les organismes </w:t>
      </w:r>
      <w:r w:rsidR="00847CEE">
        <w:t>œuvrant</w:t>
      </w:r>
      <w:r w:rsidR="00AD447E">
        <w:t xml:space="preserve"> auprès des personnes ayant des limitations fonctionnelles possèdent une expertise spécifique en lien avec la ou les limitations incluses dans leur domaine</w:t>
      </w:r>
      <w:r w:rsidR="002D1FFF">
        <w:t xml:space="preserve"> d’intervention</w:t>
      </w:r>
      <w:r w:rsidR="00AD447E">
        <w:t xml:space="preserve">, </w:t>
      </w:r>
      <w:r w:rsidR="002D1FFF">
        <w:t>indépendamment de l’âge</w:t>
      </w:r>
      <w:r w:rsidR="002E451F">
        <w:t>,</w:t>
      </w:r>
      <w:r w:rsidR="002D1FFF">
        <w:t xml:space="preserve"> du sexe </w:t>
      </w:r>
      <w:r w:rsidR="002E451F">
        <w:t xml:space="preserve">ou du statut familial </w:t>
      </w:r>
      <w:r w:rsidR="002D1FFF">
        <w:t>de</w:t>
      </w:r>
      <w:r w:rsidR="00DC1DF9">
        <w:t>s</w:t>
      </w:r>
      <w:r w:rsidR="002D1FFF">
        <w:t xml:space="preserve"> personne</w:t>
      </w:r>
      <w:r w:rsidR="00DC1DF9">
        <w:t>s</w:t>
      </w:r>
      <w:r w:rsidR="002D1FFF">
        <w:t xml:space="preserve">, </w:t>
      </w:r>
      <w:r w:rsidR="00AD447E">
        <w:t xml:space="preserve">il n’est pas </w:t>
      </w:r>
      <w:r w:rsidR="002E451F">
        <w:t xml:space="preserve">cohérent </w:t>
      </w:r>
      <w:r w:rsidR="00AD447E">
        <w:t xml:space="preserve">de </w:t>
      </w:r>
      <w:r w:rsidR="00847CEE">
        <w:t>limiter</w:t>
      </w:r>
      <w:r w:rsidR="002E451F">
        <w:t xml:space="preserve"> l</w:t>
      </w:r>
      <w:r w:rsidR="00DC1DF9">
        <w:t xml:space="preserve">eur </w:t>
      </w:r>
      <w:r w:rsidR="002E451F">
        <w:t>accès à ces programmes</w:t>
      </w:r>
      <w:r w:rsidR="00D006D3">
        <w:t xml:space="preserve">. </w:t>
      </w:r>
      <w:r w:rsidR="00AA06F6">
        <w:t xml:space="preserve">De fait, même s’il est rationnel d’organiser les programmes en fonction de clientèles cibles, l’humain ne peut être réduit à son appartenance à une seule catégorie. </w:t>
      </w:r>
    </w:p>
    <w:p w:rsidR="00DC1DF9" w:rsidRPr="00DC1DF9" w:rsidRDefault="00AD447E" w:rsidP="00DC1DF9">
      <w:pPr>
        <w:rPr>
          <w:b/>
        </w:rPr>
      </w:pPr>
      <w:r w:rsidRPr="00DC1DF9">
        <w:rPr>
          <w:b/>
        </w:rPr>
        <w:t xml:space="preserve">Recommandation : </w:t>
      </w:r>
    </w:p>
    <w:p w:rsidR="00AD447E" w:rsidRPr="00DC1DF9" w:rsidRDefault="00AD447E" w:rsidP="007D7E7B">
      <w:pPr>
        <w:pStyle w:val="encadre"/>
        <w:numPr>
          <w:ilvl w:val="0"/>
          <w:numId w:val="8"/>
        </w:numPr>
      </w:pPr>
      <w:r w:rsidRPr="00DC1DF9">
        <w:t>Que</w:t>
      </w:r>
      <w:r w:rsidR="0092572F" w:rsidRPr="00DC1DF9">
        <w:t>,</w:t>
      </w:r>
      <w:r w:rsidRPr="00DC1DF9">
        <w:t xml:space="preserve"> dans une approche intersectionnelle, les organismes </w:t>
      </w:r>
      <w:r w:rsidR="00847CEE" w:rsidRPr="00DC1DF9">
        <w:t>œuvrant</w:t>
      </w:r>
      <w:r w:rsidR="0092572F" w:rsidRPr="00DC1DF9">
        <w:t xml:space="preserve"> auprès de</w:t>
      </w:r>
      <w:r w:rsidR="00DC1DF9">
        <w:t>s</w:t>
      </w:r>
      <w:r w:rsidRPr="00DC1DF9">
        <w:t xml:space="preserve"> personnes ayant des limitations fonctionnelles </w:t>
      </w:r>
      <w:r w:rsidR="00847CEE" w:rsidRPr="00DC1DF9">
        <w:t>aient</w:t>
      </w:r>
      <w:r w:rsidRPr="00DC1DF9">
        <w:t xml:space="preserve"> accès aux programmes de </w:t>
      </w:r>
      <w:r w:rsidR="00420F46" w:rsidRPr="00DC1DF9">
        <w:t xml:space="preserve">soutien financier à des </w:t>
      </w:r>
      <w:r w:rsidRPr="00DC1DF9">
        <w:t xml:space="preserve">projets spécifiques pour les </w:t>
      </w:r>
      <w:r w:rsidR="0092572F" w:rsidRPr="00DC1DF9">
        <w:t xml:space="preserve">personnes </w:t>
      </w:r>
      <w:r w:rsidRPr="00DC1DF9">
        <w:t>aîné</w:t>
      </w:r>
      <w:r w:rsidR="0092572F" w:rsidRPr="00DC1DF9">
        <w:t>e</w:t>
      </w:r>
      <w:r w:rsidRPr="00DC1DF9">
        <w:t>s, les enfants, les femmes, les familles, etc.</w:t>
      </w:r>
      <w:r w:rsidR="00420F46" w:rsidRPr="00DC1DF9">
        <w:t xml:space="preserve">, pour autant que la pertinence </w:t>
      </w:r>
      <w:r w:rsidR="00036EC3" w:rsidRPr="00DC1DF9">
        <w:t xml:space="preserve">de leur </w:t>
      </w:r>
      <w:r w:rsidR="00420F46" w:rsidRPr="00DC1DF9">
        <w:t xml:space="preserve">projet soit démontrée. </w:t>
      </w:r>
    </w:p>
    <w:p w:rsidR="00932E85" w:rsidRDefault="00980FA1" w:rsidP="00DD753C">
      <w:pPr>
        <w:pStyle w:val="Heading1"/>
      </w:pPr>
      <w:bookmarkStart w:id="23" w:name="_Toc26543502"/>
      <w:r>
        <w:t>Thématique 3 </w:t>
      </w:r>
      <w:r w:rsidR="00DD753C">
        <w:t>– La valorisation et la promotion de l’action communautaire</w:t>
      </w:r>
      <w:bookmarkEnd w:id="23"/>
      <w:r w:rsidR="00DD753C">
        <w:t xml:space="preserve"> </w:t>
      </w:r>
    </w:p>
    <w:p w:rsidR="00DD753C" w:rsidRDefault="005D382B" w:rsidP="005A2701">
      <w:pPr>
        <w:pStyle w:val="Heading2"/>
      </w:pPr>
      <w:bookmarkStart w:id="24" w:name="_Toc26543503"/>
      <w:r>
        <w:t>V</w:t>
      </w:r>
      <w:r w:rsidR="005A2701">
        <w:t>alorisation de l’expertise des organismes communautaire</w:t>
      </w:r>
      <w:r w:rsidR="008D77E2">
        <w:t>s</w:t>
      </w:r>
      <w:bookmarkEnd w:id="24"/>
    </w:p>
    <w:p w:rsidR="00C045BA" w:rsidRPr="00F3251D" w:rsidRDefault="005A2701" w:rsidP="00F3251D">
      <w:r w:rsidRPr="00F3251D">
        <w:t>La majorité des lois</w:t>
      </w:r>
      <w:r w:rsidR="002969F5">
        <w:t>, stratégies</w:t>
      </w:r>
      <w:r w:rsidRPr="00F3251D">
        <w:t xml:space="preserve"> et politiques publiques peuvent avoir des impacts plus ou moins importants sur les personnes ayant des limitations fonctionnelles</w:t>
      </w:r>
      <w:r w:rsidR="00D24470" w:rsidRPr="00F3251D">
        <w:t xml:space="preserve">. </w:t>
      </w:r>
      <w:r w:rsidR="00847CEE">
        <w:t>Or</w:t>
      </w:r>
      <w:r w:rsidR="00331D75" w:rsidRPr="00F3251D">
        <w:t xml:space="preserve">, </w:t>
      </w:r>
      <w:r w:rsidR="00A45B26" w:rsidRPr="00F3251D">
        <w:t xml:space="preserve">même si </w:t>
      </w:r>
      <w:r w:rsidR="00D24470" w:rsidRPr="00F3251D">
        <w:t xml:space="preserve">les organismes d’action communautaire engagés dans la défense des droits, la promotion des intérêts et l’amélioration des conditions de vie des personnes ayant des limitations fonctionnelles tentent d’intervenir le plus souvent </w:t>
      </w:r>
      <w:r w:rsidR="00331D75" w:rsidRPr="00F3251D">
        <w:t xml:space="preserve">et le plus tôt </w:t>
      </w:r>
      <w:r w:rsidR="00D24470" w:rsidRPr="00F3251D">
        <w:t xml:space="preserve">possible auprès des instances gouvernementales qui élaborent </w:t>
      </w:r>
      <w:r w:rsidR="008D77E2">
        <w:t>c</w:t>
      </w:r>
      <w:r w:rsidR="00D24470" w:rsidRPr="00F3251D">
        <w:t>es projets de loi</w:t>
      </w:r>
      <w:r w:rsidR="002969F5">
        <w:t>, de stratégies</w:t>
      </w:r>
      <w:r w:rsidR="00D24470" w:rsidRPr="00F3251D">
        <w:t xml:space="preserve"> et de politiques publiques, </w:t>
      </w:r>
      <w:r w:rsidR="00331D75" w:rsidRPr="00F3251D">
        <w:t xml:space="preserve">ils ne sont malheureusement pas toujours invités à prendre part aux processus de consultation, aux réflexions ou aux discussions </w:t>
      </w:r>
      <w:r w:rsidR="00F3251D" w:rsidRPr="00F3251D">
        <w:t xml:space="preserve">(ex. : commissions parlementaires, consultations ministérielles sur les stratégies gouvernementales, consultations publiques sur les projets de loi, comités de travail, etc.) </w:t>
      </w:r>
      <w:r w:rsidR="00331D75" w:rsidRPr="00F3251D">
        <w:t xml:space="preserve">préalables à </w:t>
      </w:r>
      <w:r w:rsidR="003E714C" w:rsidRPr="00F3251D">
        <w:t xml:space="preserve">leur </w:t>
      </w:r>
      <w:r w:rsidR="00331D75" w:rsidRPr="00F3251D">
        <w:t>adoption.</w:t>
      </w:r>
      <w:r w:rsidR="00C045BA" w:rsidRPr="00F3251D">
        <w:t xml:space="preserve"> </w:t>
      </w:r>
    </w:p>
    <w:p w:rsidR="003E714C" w:rsidRPr="00F3251D" w:rsidRDefault="003E714C" w:rsidP="00F3251D">
      <w:r w:rsidRPr="00F3251D">
        <w:t xml:space="preserve">À titre d’exemple, à l’automne 2019, </w:t>
      </w:r>
      <w:r w:rsidR="00C045BA" w:rsidRPr="00F3251D">
        <w:t xml:space="preserve">les organismes </w:t>
      </w:r>
      <w:r w:rsidR="008D77E2">
        <w:t xml:space="preserve">pour les </w:t>
      </w:r>
      <w:r w:rsidR="004E4B6E" w:rsidRPr="00F3251D">
        <w:t xml:space="preserve">personnes ayant des limitations fonctionnelles </w:t>
      </w:r>
      <w:r w:rsidR="00C045BA" w:rsidRPr="00F3251D">
        <w:t xml:space="preserve">n’ont pas été invités à prendre part aux consultations particulières portant sur le projet de </w:t>
      </w:r>
      <w:r w:rsidR="00C513A6" w:rsidRPr="00F3251D">
        <w:t>loi 40</w:t>
      </w:r>
      <w:r w:rsidR="00C045BA" w:rsidRPr="00F3251D">
        <w:t xml:space="preserve">, </w:t>
      </w:r>
      <w:r w:rsidRPr="00F3251D">
        <w:t xml:space="preserve">« Loi modifiant principalement la Loi sur </w:t>
      </w:r>
      <w:r w:rsidRPr="00F3251D">
        <w:lastRenderedPageBreak/>
        <w:t xml:space="preserve">l’instruction publique relativement à l’organisation et à la gouvernance scolaires », </w:t>
      </w:r>
      <w:r w:rsidR="0092572F">
        <w:t>malgré l</w:t>
      </w:r>
      <w:r w:rsidR="004E4B6E" w:rsidRPr="00F3251D">
        <w:t xml:space="preserve">es impacts importants </w:t>
      </w:r>
      <w:r w:rsidR="0092572F">
        <w:t>que cette loi aura</w:t>
      </w:r>
      <w:r w:rsidR="0092572F" w:rsidRPr="00F3251D">
        <w:t xml:space="preserve"> </w:t>
      </w:r>
      <w:r w:rsidR="004E4B6E" w:rsidRPr="00F3251D">
        <w:t>sur les élèves handicapés ou en difficulté d</w:t>
      </w:r>
      <w:r w:rsidR="0092572F">
        <w:t>’adaptation ou d’apprentissage.</w:t>
      </w:r>
    </w:p>
    <w:p w:rsidR="004E4B6E" w:rsidRPr="00F3251D" w:rsidRDefault="004E4B6E" w:rsidP="00F3251D">
      <w:r w:rsidRPr="00F3251D">
        <w:t xml:space="preserve">Pourtant, les organismes </w:t>
      </w:r>
      <w:r w:rsidR="00A45B26" w:rsidRPr="00F3251D">
        <w:t>communautaire</w:t>
      </w:r>
      <w:r w:rsidR="008D77E2">
        <w:t>s</w:t>
      </w:r>
      <w:r w:rsidR="00A45B26" w:rsidRPr="00F3251D">
        <w:t xml:space="preserve"> </w:t>
      </w:r>
      <w:r w:rsidRPr="00F3251D">
        <w:t xml:space="preserve">possèdent une expertise </w:t>
      </w:r>
      <w:r w:rsidR="00C513A6" w:rsidRPr="00F3251D">
        <w:t>unique dans</w:t>
      </w:r>
      <w:r w:rsidR="00A45B26" w:rsidRPr="00F3251D">
        <w:t xml:space="preserve"> leur domaine d’intervention, et certaines instances gouvernementales reconnaissent déjà la valeur de cette expertise depuis fort longtemps. </w:t>
      </w:r>
    </w:p>
    <w:p w:rsidR="008D77E2" w:rsidRDefault="00200EAE" w:rsidP="008D77E2">
      <w:r w:rsidRPr="008D77E2">
        <w:t>Recommandation</w:t>
      </w:r>
      <w:r w:rsidR="008D77E2">
        <w:t>s</w:t>
      </w:r>
      <w:r w:rsidRPr="008D77E2">
        <w:t xml:space="preserve"> : </w:t>
      </w:r>
    </w:p>
    <w:p w:rsidR="00764232" w:rsidRPr="008D77E2" w:rsidRDefault="00764232" w:rsidP="007D7E7B">
      <w:pPr>
        <w:pStyle w:val="encadre"/>
        <w:numPr>
          <w:ilvl w:val="0"/>
          <w:numId w:val="8"/>
        </w:numPr>
      </w:pPr>
      <w:r w:rsidRPr="008D77E2">
        <w:t xml:space="preserve">Que l’expertise </w:t>
      </w:r>
      <w:r w:rsidR="00DE49F6" w:rsidRPr="008D77E2">
        <w:t xml:space="preserve">spécifique </w:t>
      </w:r>
      <w:r w:rsidRPr="008D77E2">
        <w:t>des organismes communautaire</w:t>
      </w:r>
      <w:r w:rsidR="008D77E2">
        <w:t>s</w:t>
      </w:r>
      <w:r w:rsidRPr="008D77E2">
        <w:t xml:space="preserve"> </w:t>
      </w:r>
      <w:r w:rsidR="00851CE2">
        <w:t xml:space="preserve">qui représentent les </w:t>
      </w:r>
      <w:r w:rsidRPr="008D77E2">
        <w:t xml:space="preserve">personnes ayant des limitations fonctionnelles soit reconnue, promue et valorisée. </w:t>
      </w:r>
    </w:p>
    <w:p w:rsidR="005A2701" w:rsidRPr="008D77E2" w:rsidRDefault="004D13C7" w:rsidP="007D7E7B">
      <w:pPr>
        <w:pStyle w:val="encadre"/>
        <w:numPr>
          <w:ilvl w:val="0"/>
          <w:numId w:val="8"/>
        </w:numPr>
      </w:pPr>
      <w:r w:rsidRPr="008D77E2">
        <w:t>Q</w:t>
      </w:r>
      <w:r w:rsidR="00200EAE" w:rsidRPr="008D77E2">
        <w:t>ue</w:t>
      </w:r>
      <w:r w:rsidR="009705F1" w:rsidRPr="008D77E2">
        <w:t>, dans un esprit de partenariat</w:t>
      </w:r>
      <w:r w:rsidR="00DE49F6" w:rsidRPr="008D77E2">
        <w:t xml:space="preserve"> et de reconnaissance de leur expertise spécifique</w:t>
      </w:r>
      <w:r w:rsidR="009705F1" w:rsidRPr="008D77E2">
        <w:t>,</w:t>
      </w:r>
      <w:r w:rsidR="00200EAE" w:rsidRPr="008D77E2">
        <w:t xml:space="preserve"> </w:t>
      </w:r>
      <w:r w:rsidR="00661BA7">
        <w:t>les</w:t>
      </w:r>
      <w:r w:rsidR="00200EAE" w:rsidRPr="008D77E2">
        <w:t xml:space="preserve"> organismes communautaire</w:t>
      </w:r>
      <w:r w:rsidR="00851CE2">
        <w:t>s</w:t>
      </w:r>
      <w:r w:rsidR="00200EAE" w:rsidRPr="008D77E2">
        <w:t xml:space="preserve"> qui </w:t>
      </w:r>
      <w:r w:rsidR="00851CE2">
        <w:t>représentent l</w:t>
      </w:r>
      <w:r w:rsidR="00200EAE" w:rsidRPr="008D77E2">
        <w:t xml:space="preserve">es personnes ayant des limitations fonctionnelles </w:t>
      </w:r>
      <w:r w:rsidR="00066246">
        <w:t xml:space="preserve">aient la possibilité de </w:t>
      </w:r>
      <w:r w:rsidR="00200EAE" w:rsidRPr="008D77E2">
        <w:t xml:space="preserve">prendre part aux consultations </w:t>
      </w:r>
      <w:r w:rsidR="00721ECE" w:rsidRPr="008D77E2">
        <w:t xml:space="preserve">ou </w:t>
      </w:r>
      <w:r w:rsidR="00200EAE" w:rsidRPr="008D77E2">
        <w:t>aux discussions lors de l’élaboration des lois</w:t>
      </w:r>
      <w:r w:rsidR="002969F5" w:rsidRPr="008D77E2">
        <w:t>, des stratégies</w:t>
      </w:r>
      <w:r w:rsidR="00200EAE" w:rsidRPr="008D77E2">
        <w:t xml:space="preserve"> et des politiques publiques </w:t>
      </w:r>
      <w:r w:rsidR="00721ECE" w:rsidRPr="008D77E2">
        <w:t>qui pourraient avoir un impact sur ces personnes.</w:t>
      </w:r>
    </w:p>
    <w:p w:rsidR="00E531B9" w:rsidRDefault="00E531B9" w:rsidP="00E531B9">
      <w:pPr>
        <w:pStyle w:val="Heading1"/>
      </w:pPr>
      <w:bookmarkStart w:id="25" w:name="_Toc26543504"/>
      <w:r>
        <w:t>Conclusion</w:t>
      </w:r>
      <w:bookmarkEnd w:id="25"/>
      <w:r>
        <w:t xml:space="preserve"> </w:t>
      </w:r>
    </w:p>
    <w:p w:rsidR="00D022C7" w:rsidRDefault="006A2BFE" w:rsidP="00507D1D">
      <w:r>
        <w:t>L’élaboration d’un nouveau plan d’action gouvernemental en matière d’action communautaire représente une occasion unique de réfléchir aux obstacles et aux défis rencontrés par les organismes communautaire</w:t>
      </w:r>
      <w:r w:rsidR="00851CE2">
        <w:t>s</w:t>
      </w:r>
      <w:r>
        <w:t xml:space="preserve"> </w:t>
      </w:r>
      <w:r w:rsidR="00851CE2">
        <w:t xml:space="preserve">pour les </w:t>
      </w:r>
      <w:r>
        <w:t>personnes ayant des limitations fonctionnelles</w:t>
      </w:r>
      <w:r w:rsidR="001D6D3D">
        <w:t xml:space="preserve">. </w:t>
      </w:r>
    </w:p>
    <w:p w:rsidR="00E531B9" w:rsidRDefault="001D6D3D" w:rsidP="00507D1D">
      <w:r>
        <w:t xml:space="preserve">En outre, </w:t>
      </w:r>
      <w:r w:rsidR="007929CB">
        <w:t xml:space="preserve">à l’issue de la présente consultation, nous nous attendons à ce que des mesures soient </w:t>
      </w:r>
      <w:r w:rsidR="000301EE">
        <w:t xml:space="preserve">adoptées </w:t>
      </w:r>
      <w:r w:rsidR="007929CB">
        <w:t xml:space="preserve">pour favoriser l’inclusion et la participation sociale des personnes ayant des limitations fonctionnelles </w:t>
      </w:r>
      <w:r w:rsidR="0042543E">
        <w:t xml:space="preserve">dans les organismes, </w:t>
      </w:r>
      <w:r w:rsidR="00452976">
        <w:t xml:space="preserve">non seulement au sein de </w:t>
      </w:r>
      <w:r w:rsidR="00C851F6">
        <w:t xml:space="preserve">leur </w:t>
      </w:r>
      <w:r w:rsidR="00452976">
        <w:t xml:space="preserve">vie associative, mais également en tant que milieux de travail. </w:t>
      </w:r>
      <w:r w:rsidR="00C851F6">
        <w:t xml:space="preserve">Par ailleurs, </w:t>
      </w:r>
      <w:r w:rsidR="000301EE">
        <w:t xml:space="preserve">en assurant une meilleure cohérence des actions gouvernementales, notamment par le respect des lois, politiques et normes en vigueur, et en assurant </w:t>
      </w:r>
      <w:r w:rsidR="00851CE2">
        <w:t xml:space="preserve">l’accessibilité de </w:t>
      </w:r>
      <w:r w:rsidR="000301EE">
        <w:t xml:space="preserve">l’information, </w:t>
      </w:r>
      <w:r w:rsidR="00851CE2">
        <w:t>l</w:t>
      </w:r>
      <w:r w:rsidR="000301EE">
        <w:t xml:space="preserve">es personnes </w:t>
      </w:r>
      <w:r w:rsidR="00851CE2">
        <w:t xml:space="preserve">ayant des limitations fonctionnelles </w:t>
      </w:r>
      <w:r w:rsidR="000301EE">
        <w:t xml:space="preserve">et les organismes qui les représentent </w:t>
      </w:r>
      <w:r w:rsidR="003221DB">
        <w:t>seront davantage en mesure de faire valoir leur expertise</w:t>
      </w:r>
      <w:r w:rsidR="00A506A9">
        <w:t>,</w:t>
      </w:r>
      <w:r w:rsidR="003221DB">
        <w:t xml:space="preserve"> et </w:t>
      </w:r>
      <w:r w:rsidR="00441F18">
        <w:t>de s’assurer de la prise en compte de leurs besoins lors de l’élaboration d</w:t>
      </w:r>
      <w:r w:rsidR="003221DB">
        <w:t>es nouvelles lois, stratégies et politiques publiques</w:t>
      </w:r>
      <w:r w:rsidR="00441F18">
        <w:t xml:space="preserve">, </w:t>
      </w:r>
      <w:r w:rsidR="00A506A9">
        <w:t xml:space="preserve">afin de </w:t>
      </w:r>
      <w:r w:rsidR="00441F18">
        <w:t xml:space="preserve">faire du </w:t>
      </w:r>
      <w:r w:rsidR="003221DB">
        <w:t xml:space="preserve">Québec une société plus </w:t>
      </w:r>
      <w:r w:rsidR="00441F18">
        <w:t xml:space="preserve">juste et </w:t>
      </w:r>
      <w:r w:rsidR="003221DB">
        <w:t xml:space="preserve">inclusive. </w:t>
      </w:r>
    </w:p>
    <w:p w:rsidR="00A506A9" w:rsidRDefault="00A506A9" w:rsidP="00507D1D"/>
    <w:p w:rsidR="00A506A9" w:rsidRDefault="00A506A9" w:rsidP="00A506A9">
      <w:pPr>
        <w:pStyle w:val="Heading1"/>
        <w:numPr>
          <w:ilvl w:val="0"/>
          <w:numId w:val="0"/>
        </w:numPr>
      </w:pPr>
      <w:bookmarkStart w:id="26" w:name="_Toc26543505"/>
      <w:r>
        <w:lastRenderedPageBreak/>
        <w:t>Annexe : Liste des recommandations</w:t>
      </w:r>
      <w:bookmarkEnd w:id="26"/>
    </w:p>
    <w:p w:rsidR="00A506A9" w:rsidRDefault="00C05945" w:rsidP="005D6664">
      <w:pPr>
        <w:pStyle w:val="ListParagraph"/>
        <w:numPr>
          <w:ilvl w:val="0"/>
          <w:numId w:val="10"/>
        </w:numPr>
      </w:pPr>
      <w:r w:rsidRPr="00C05945">
        <w:t>Qu’un montant de 15 millions de dollars soit octroyé chaque année pour soutenir l’inclusion et la participation des personnes ayant des limitations fonctionnelles à la vie associative des organismes communautaires qui les représentent, tel que recommandé par l’IRIS</w:t>
      </w:r>
      <w:r>
        <w:t>.</w:t>
      </w:r>
    </w:p>
    <w:p w:rsidR="00C05945" w:rsidRDefault="005D6664" w:rsidP="005D6664">
      <w:pPr>
        <w:pStyle w:val="ListParagraph"/>
        <w:numPr>
          <w:ilvl w:val="0"/>
          <w:numId w:val="10"/>
        </w:numPr>
      </w:pPr>
      <w:r w:rsidRPr="005D6664">
        <w:t>Que les fonds additionnels dédiés aux mesures d’accommodement fassent partie du financement à la mission globale des organismes communautaires qui représentent les personnes ayant des limitations fonctionnelles, et que la reddition de comptes démontre que ces fonds ont bien été utilisés pour soutenir l’inclusion et la participation des personnes ayant des limitations fonctionnelles à leur vie associative</w:t>
      </w:r>
      <w:r>
        <w:t>.</w:t>
      </w:r>
    </w:p>
    <w:p w:rsidR="005D6664" w:rsidRDefault="005D6664" w:rsidP="005D6664">
      <w:pPr>
        <w:pStyle w:val="ListParagraph"/>
        <w:numPr>
          <w:ilvl w:val="0"/>
          <w:numId w:val="10"/>
        </w:numPr>
      </w:pPr>
      <w:r w:rsidRPr="005D6664">
        <w:t>Que les subventions salariales, comme le Contrat d’intégration au travail (CIT) et autres mesures visant à soutenir l’emploi des personnes éloignées du marché du travail, soient systématiquement exclues du montant utilisé pour calculer la répartition des nouveaux crédits pour le financement à la mission globale des organismes communautaires</w:t>
      </w:r>
      <w:r>
        <w:t>.</w:t>
      </w:r>
    </w:p>
    <w:p w:rsidR="005D6664" w:rsidRDefault="005D6664" w:rsidP="005D6664">
      <w:pPr>
        <w:pStyle w:val="ListParagraph"/>
        <w:numPr>
          <w:ilvl w:val="0"/>
          <w:numId w:val="10"/>
        </w:numPr>
      </w:pPr>
      <w:r w:rsidRPr="005D6664">
        <w:t>Que les différentes institutions publiques identifient les édifices « excédentaires » et les locaux vacants, ainsi que les espaces accessibles susceptibles d’accueillir des organismes et des activités communautaires</w:t>
      </w:r>
      <w:r>
        <w:t>.</w:t>
      </w:r>
    </w:p>
    <w:p w:rsidR="005D6664" w:rsidRDefault="005D6664" w:rsidP="005D6664">
      <w:pPr>
        <w:pStyle w:val="ListParagraph"/>
        <w:numPr>
          <w:ilvl w:val="0"/>
          <w:numId w:val="10"/>
        </w:numPr>
      </w:pPr>
      <w:r w:rsidRPr="005D6664">
        <w:t>Qu’un fonds d’urgence soit mis en place pour les organismes qui rencontrent des difficultés relatives à leurs locaux (ex. : éviction, déménagement ou travaux imprévus, etc.).</w:t>
      </w:r>
    </w:p>
    <w:p w:rsidR="005D6664" w:rsidRDefault="005D6664" w:rsidP="005D6664">
      <w:pPr>
        <w:pStyle w:val="ListParagraph"/>
        <w:numPr>
          <w:ilvl w:val="0"/>
          <w:numId w:val="10"/>
        </w:numPr>
      </w:pPr>
      <w:r w:rsidRPr="005D6664">
        <w:t>Que les projets de développement immobilier à Montréal, portés par les instances gouvernementales, respectent les normes et les bonnes pratiques en matière d’accessibilité universelle, et qu’une proportion d’espaces à louer ou à acheter soit réservée aux organismes communautaires.</w:t>
      </w:r>
    </w:p>
    <w:p w:rsidR="005D6664" w:rsidRDefault="005D6664" w:rsidP="005D6664">
      <w:pPr>
        <w:pStyle w:val="ListParagraph"/>
        <w:numPr>
          <w:ilvl w:val="0"/>
          <w:numId w:val="10"/>
        </w:numPr>
      </w:pPr>
      <w:r w:rsidRPr="005D6664">
        <w:t>Que des fonds d'infrastructure soient disponibles pour répondre aux différents besoins des organismes communautaires : améliorations locatives, acquisition ou rénovation de bâtiments, mise aux normes en matière d’accessibilité universelle, etc.</w:t>
      </w:r>
    </w:p>
    <w:p w:rsidR="005D6664" w:rsidRDefault="005D6664" w:rsidP="005D6664">
      <w:pPr>
        <w:pStyle w:val="ListParagraph"/>
        <w:numPr>
          <w:ilvl w:val="0"/>
          <w:numId w:val="10"/>
        </w:numPr>
      </w:pPr>
      <w:r w:rsidRPr="005D6664">
        <w:t>Que les organismes communautaires, propriétaires ou locataires, soient exemptés des taxes foncières et commerciales.</w:t>
      </w:r>
    </w:p>
    <w:p w:rsidR="005D6664" w:rsidRDefault="005D6664" w:rsidP="005D6664">
      <w:pPr>
        <w:pStyle w:val="ListParagraph"/>
        <w:numPr>
          <w:ilvl w:val="0"/>
          <w:numId w:val="10"/>
        </w:numPr>
      </w:pPr>
      <w:r w:rsidRPr="005D6664">
        <w:t>Que les frais supplémentaires relatifs à l’accessibilité des locaux (travaux de mise en accessibilité, location d’espaces accessibles pour la tenue d’activités inclusives, etc.) soient considérés comme une mesure d’accommodement pour répondre aux besoins des personnes ayant des limitations fonctionnelles.</w:t>
      </w:r>
    </w:p>
    <w:p w:rsidR="005D6664" w:rsidRDefault="005D6664" w:rsidP="005D6664">
      <w:pPr>
        <w:pStyle w:val="ListParagraph"/>
        <w:numPr>
          <w:ilvl w:val="0"/>
          <w:numId w:val="10"/>
        </w:numPr>
      </w:pPr>
      <w:r w:rsidRPr="005D6664">
        <w:lastRenderedPageBreak/>
        <w:t>Que le financement à la mission des organismes communautaires soit indexé annuellement, selon l’augmentation des coûts de fonctionnement, et ce, pour tous les programmes de financement à la mission.</w:t>
      </w:r>
    </w:p>
    <w:p w:rsidR="005D6664" w:rsidRDefault="005D6664" w:rsidP="005D6664">
      <w:pPr>
        <w:pStyle w:val="ListParagraph"/>
        <w:numPr>
          <w:ilvl w:val="0"/>
          <w:numId w:val="10"/>
        </w:numPr>
      </w:pPr>
      <w:r w:rsidRPr="005D6664">
        <w:t>Que les revenus des organismes communautaires puissent être exclusivement constitués de fonds publics, notamment pour les organismes qui n’offrent pas de services directs à la population, comme les regroupements d’organismes.</w:t>
      </w:r>
    </w:p>
    <w:p w:rsidR="005D6664" w:rsidRDefault="005D6664" w:rsidP="005D6664">
      <w:pPr>
        <w:pStyle w:val="ListParagraph"/>
        <w:numPr>
          <w:ilvl w:val="0"/>
          <w:numId w:val="10"/>
        </w:numPr>
      </w:pPr>
      <w:r w:rsidRPr="005D6664">
        <w:t>Que, dans un contexte de pénurie de main d’œuvre, et dans le but de conserver une expertise unique développée auprès de clientèles spécifiques, les organismes communautaires reçoivent un soutien financier récurrent et suffisant, qui leur permettra d’offrir à leurs employés des conditions de travail et des salaires compétitifs.</w:t>
      </w:r>
    </w:p>
    <w:p w:rsidR="005D6664" w:rsidRDefault="005D6664" w:rsidP="005D6664">
      <w:pPr>
        <w:pStyle w:val="ListParagraph"/>
        <w:numPr>
          <w:ilvl w:val="0"/>
          <w:numId w:val="10"/>
        </w:numPr>
      </w:pPr>
      <w:r w:rsidRPr="005D6664">
        <w:t>Que, dans une perspective d’inclusion, visant la participation sociale des personnes ayant des limitations fonctionnelles et des organismes d’action communautaire qui les représentent, toutes les informations et documents publics produits par le Gouvernement du Québec respectent les lois, politiques et standards en vigueur, en terme d’accessibilité.</w:t>
      </w:r>
    </w:p>
    <w:p w:rsidR="005D6664" w:rsidRDefault="005D6664" w:rsidP="005D6664">
      <w:pPr>
        <w:pStyle w:val="ListParagraph"/>
        <w:numPr>
          <w:ilvl w:val="0"/>
          <w:numId w:val="10"/>
        </w:numPr>
      </w:pPr>
      <w:r w:rsidRPr="005D6664">
        <w:t>Que tous les formulaires de demande de soutien financier et de reddition de comptes, les guides qui les accompagnent, ainsi que les conventions et ententes qui lient les bailleurs de fonds et les organismes, respectent les standards d’accessibilité en vigueur.</w:t>
      </w:r>
    </w:p>
    <w:p w:rsidR="005D6664" w:rsidRDefault="005D6664" w:rsidP="005D6664">
      <w:pPr>
        <w:pStyle w:val="ListParagraph"/>
        <w:numPr>
          <w:ilvl w:val="0"/>
          <w:numId w:val="10"/>
        </w:numPr>
      </w:pPr>
      <w:r w:rsidRPr="005D6664">
        <w:t>Que, dans une approche intersectionnelle, les organismes œuvrant auprès des personnes ayant des limitations fonctionnelles aient accès aux programmes de soutien financier à des projets spécifiques pour les personnes aînées, les enfants, les femmes, les familles, etc., pour autant que la pertinence de leur projet soit démontrée.</w:t>
      </w:r>
    </w:p>
    <w:p w:rsidR="005D6664" w:rsidRDefault="005D6664" w:rsidP="005D6664">
      <w:pPr>
        <w:pStyle w:val="ListParagraph"/>
        <w:numPr>
          <w:ilvl w:val="0"/>
          <w:numId w:val="10"/>
        </w:numPr>
      </w:pPr>
      <w:r w:rsidRPr="005D6664">
        <w:t>Que l’expertise spécifique des organismes communautaires qui représentent les personnes ayant des limitations fonctionnelles soit reconnue, promue et valorisée.</w:t>
      </w:r>
    </w:p>
    <w:p w:rsidR="005D6664" w:rsidRPr="005D6664" w:rsidRDefault="005D6664" w:rsidP="005D6664">
      <w:pPr>
        <w:pStyle w:val="ListParagraph"/>
        <w:numPr>
          <w:ilvl w:val="0"/>
          <w:numId w:val="10"/>
        </w:numPr>
      </w:pPr>
      <w:r w:rsidRPr="005D6664">
        <w:t>Que, dans un esprit de partenariat et de reconnaissance de leur expertise spécifique, les organismes communautaires qui représentent les personnes ayant des limitations fonctionnelles aient la possibilité de prendre part aux consultations ou aux discussions lors de l’élaboration des lois, des stratégies et des politiques publiques qui pourraient avoir un impact sur ces personnes.</w:t>
      </w:r>
    </w:p>
    <w:p w:rsidR="005D6664" w:rsidRDefault="005D6664" w:rsidP="00507D1D"/>
    <w:p w:rsidR="00C05945" w:rsidRPr="00507D1D" w:rsidRDefault="00C05945" w:rsidP="00507D1D"/>
    <w:sectPr w:rsidR="00C05945" w:rsidRPr="00507D1D" w:rsidSect="002B75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9F" w:rsidRDefault="002A669F" w:rsidP="00507D1D">
      <w:r>
        <w:separator/>
      </w:r>
    </w:p>
  </w:endnote>
  <w:endnote w:type="continuationSeparator" w:id="0">
    <w:p w:rsidR="002A669F" w:rsidRDefault="002A669F" w:rsidP="005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D2" w:rsidRDefault="005821D2" w:rsidP="00507D1D">
    <w:pPr>
      <w:pStyle w:val="Footer"/>
    </w:pPr>
    <w:r>
      <w:t xml:space="preserve">. </w:t>
    </w:r>
  </w:p>
  <w:p w:rsidR="005821D2" w:rsidRDefault="005821D2" w:rsidP="00507D1D">
    <w:pPr>
      <w:pStyle w:val="Footer"/>
    </w:pPr>
    <w:r>
      <w:t xml:space="preserve"> </w:t>
    </w:r>
  </w:p>
  <w:p w:rsidR="005821D2" w:rsidRDefault="005821D2" w:rsidP="00507D1D">
    <w:pPr>
      <w:pStyle w:val="Footer"/>
    </w:pPr>
    <w:r>
      <w:t xml:space="preserve"> </w:t>
    </w:r>
  </w:p>
  <w:p w:rsidR="005821D2" w:rsidRDefault="005821D2" w:rsidP="00507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D2" w:rsidRDefault="005821D2" w:rsidP="00507D1D">
    <w:pPr>
      <w:pStyle w:val="Footer"/>
      <w:rPr>
        <w:noProof/>
      </w:rPr>
    </w:pPr>
    <w:r>
      <w:t xml:space="preserve">Mémoire sur le plan d’action gouvernemental en matière d’action communautaire – 06/12/2019 </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2735">
          <w:rPr>
            <w:noProof/>
          </w:rPr>
          <w:t>16</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A92735">
          <w:rPr>
            <w:noProof/>
          </w:rPr>
          <w:t>16</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35" w:rsidRDefault="00A927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9F" w:rsidRDefault="002A669F" w:rsidP="00507D1D">
      <w:r>
        <w:separator/>
      </w:r>
    </w:p>
  </w:footnote>
  <w:footnote w:type="continuationSeparator" w:id="0">
    <w:p w:rsidR="002A669F" w:rsidRDefault="002A669F" w:rsidP="00507D1D">
      <w:r>
        <w:continuationSeparator/>
      </w:r>
    </w:p>
  </w:footnote>
  <w:footnote w:id="1">
    <w:p w:rsidR="005821D2" w:rsidRPr="00A333CF" w:rsidRDefault="005821D2" w:rsidP="006367AA">
      <w:pPr>
        <w:pStyle w:val="FootnoteText"/>
        <w:rPr>
          <w:lang w:val="fr-CA"/>
        </w:rPr>
      </w:pPr>
      <w:r>
        <w:rPr>
          <w:rStyle w:val="FootnoteReference"/>
        </w:rPr>
        <w:footnoteRef/>
      </w:r>
      <w:r>
        <w:t xml:space="preserve"> « </w:t>
      </w:r>
      <w:r w:rsidRPr="00A333CF">
        <w:t>L’accès à la vie associative pour les personnes en situation de handicap dans le mouvement de l’action communautaire autonome</w:t>
      </w:r>
      <w:r>
        <w:t> </w:t>
      </w:r>
      <w:r w:rsidRPr="00A333CF">
        <w:t>: Pratiques et besoins pour un accès non discriminatoir</w:t>
      </w:r>
      <w:r>
        <w:t>e », IRIS, 2017, p.3</w:t>
      </w:r>
    </w:p>
  </w:footnote>
  <w:footnote w:id="2">
    <w:p w:rsidR="005821D2" w:rsidRPr="002D6439" w:rsidRDefault="005821D2">
      <w:pPr>
        <w:pStyle w:val="FootnoteText"/>
        <w:rPr>
          <w:lang w:val="fr-CA"/>
        </w:rPr>
      </w:pPr>
      <w:r>
        <w:rPr>
          <w:rStyle w:val="FootnoteReference"/>
        </w:rPr>
        <w:footnoteRef/>
      </w:r>
      <w:r>
        <w:t xml:space="preserve"> Ibid., p.3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D2" w:rsidRDefault="005821D2" w:rsidP="00507D1D">
    <w:pPr>
      <w:pStyle w:val="Header"/>
    </w:pPr>
    <w:r>
      <w:t xml:space="preserve">. </w:t>
    </w:r>
  </w:p>
  <w:p w:rsidR="005821D2" w:rsidRDefault="005821D2" w:rsidP="00507D1D">
    <w:pPr>
      <w:pStyle w:val="Header"/>
    </w:pPr>
    <w:r>
      <w:t xml:space="preserve"> </w:t>
    </w:r>
  </w:p>
  <w:p w:rsidR="005821D2" w:rsidRDefault="005821D2" w:rsidP="00507D1D">
    <w:pPr>
      <w:pStyle w:val="Header"/>
    </w:pPr>
    <w:r>
      <w:t xml:space="preserve"> </w:t>
    </w:r>
  </w:p>
  <w:p w:rsidR="005821D2" w:rsidRDefault="005821D2" w:rsidP="00507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D2" w:rsidRDefault="005821D2" w:rsidP="00507D1D">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35" w:rsidRDefault="00A927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DB394D"/>
    <w:multiLevelType w:val="hybridMultilevel"/>
    <w:tmpl w:val="FFF883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62B6E"/>
    <w:multiLevelType w:val="hybridMultilevel"/>
    <w:tmpl w:val="86C83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176114"/>
    <w:multiLevelType w:val="hybridMultilevel"/>
    <w:tmpl w:val="76A07A0A"/>
    <w:lvl w:ilvl="0" w:tplc="0409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B531E6B"/>
    <w:multiLevelType w:val="hybridMultilevel"/>
    <w:tmpl w:val="6AD006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6014B80"/>
    <w:multiLevelType w:val="hybridMultilevel"/>
    <w:tmpl w:val="79A8A8E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7"/>
  </w:num>
  <w:num w:numId="6">
    <w:abstractNumId w:val="9"/>
  </w:num>
  <w:num w:numId="7">
    <w:abstractNumId w:val="6"/>
  </w:num>
  <w:num w:numId="8">
    <w:abstractNumId w:val="5"/>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1355F"/>
    <w:rsid w:val="000144E3"/>
    <w:rsid w:val="000152D1"/>
    <w:rsid w:val="000203EA"/>
    <w:rsid w:val="000217C4"/>
    <w:rsid w:val="00021861"/>
    <w:rsid w:val="000224C7"/>
    <w:rsid w:val="00023E6E"/>
    <w:rsid w:val="00024CA9"/>
    <w:rsid w:val="00024F6C"/>
    <w:rsid w:val="000251B4"/>
    <w:rsid w:val="00025211"/>
    <w:rsid w:val="00025225"/>
    <w:rsid w:val="00025F44"/>
    <w:rsid w:val="000301EE"/>
    <w:rsid w:val="00030D9D"/>
    <w:rsid w:val="00031448"/>
    <w:rsid w:val="00031592"/>
    <w:rsid w:val="00032846"/>
    <w:rsid w:val="00033451"/>
    <w:rsid w:val="00034ECD"/>
    <w:rsid w:val="0003521C"/>
    <w:rsid w:val="000361A9"/>
    <w:rsid w:val="00036EC3"/>
    <w:rsid w:val="00036F51"/>
    <w:rsid w:val="00041699"/>
    <w:rsid w:val="00046A3F"/>
    <w:rsid w:val="00050BA2"/>
    <w:rsid w:val="00052569"/>
    <w:rsid w:val="000526C0"/>
    <w:rsid w:val="00055934"/>
    <w:rsid w:val="0006027A"/>
    <w:rsid w:val="000611F2"/>
    <w:rsid w:val="000618BE"/>
    <w:rsid w:val="00064B59"/>
    <w:rsid w:val="00065A4B"/>
    <w:rsid w:val="00066246"/>
    <w:rsid w:val="00066EB0"/>
    <w:rsid w:val="00067BDC"/>
    <w:rsid w:val="00067F4F"/>
    <w:rsid w:val="00073948"/>
    <w:rsid w:val="00074EBC"/>
    <w:rsid w:val="00077CB2"/>
    <w:rsid w:val="00080D5F"/>
    <w:rsid w:val="00081FCE"/>
    <w:rsid w:val="00090DA1"/>
    <w:rsid w:val="000926DC"/>
    <w:rsid w:val="0009568D"/>
    <w:rsid w:val="000A19C3"/>
    <w:rsid w:val="000B3766"/>
    <w:rsid w:val="000B3E58"/>
    <w:rsid w:val="000B621B"/>
    <w:rsid w:val="000B63E5"/>
    <w:rsid w:val="000C4600"/>
    <w:rsid w:val="000C5544"/>
    <w:rsid w:val="000D1013"/>
    <w:rsid w:val="000E14D8"/>
    <w:rsid w:val="000E3FE9"/>
    <w:rsid w:val="000E779D"/>
    <w:rsid w:val="000F083E"/>
    <w:rsid w:val="000F5D88"/>
    <w:rsid w:val="000F6032"/>
    <w:rsid w:val="000F7F45"/>
    <w:rsid w:val="00100CFF"/>
    <w:rsid w:val="001010DC"/>
    <w:rsid w:val="00106E63"/>
    <w:rsid w:val="00107093"/>
    <w:rsid w:val="0011293E"/>
    <w:rsid w:val="0012190B"/>
    <w:rsid w:val="00122676"/>
    <w:rsid w:val="00127F80"/>
    <w:rsid w:val="001317EE"/>
    <w:rsid w:val="001333F4"/>
    <w:rsid w:val="00135C0F"/>
    <w:rsid w:val="001406B8"/>
    <w:rsid w:val="00142B24"/>
    <w:rsid w:val="00142FFD"/>
    <w:rsid w:val="00143794"/>
    <w:rsid w:val="0014570F"/>
    <w:rsid w:val="001507AA"/>
    <w:rsid w:val="001523BA"/>
    <w:rsid w:val="00166DF8"/>
    <w:rsid w:val="0017033F"/>
    <w:rsid w:val="0017046C"/>
    <w:rsid w:val="00171FB0"/>
    <w:rsid w:val="00173D14"/>
    <w:rsid w:val="0017474A"/>
    <w:rsid w:val="00181BCB"/>
    <w:rsid w:val="0018229B"/>
    <w:rsid w:val="00182888"/>
    <w:rsid w:val="001860E3"/>
    <w:rsid w:val="001878D9"/>
    <w:rsid w:val="00191161"/>
    <w:rsid w:val="001916D8"/>
    <w:rsid w:val="00192A8F"/>
    <w:rsid w:val="00194DED"/>
    <w:rsid w:val="00196F57"/>
    <w:rsid w:val="001A1BDB"/>
    <w:rsid w:val="001A2481"/>
    <w:rsid w:val="001A57EA"/>
    <w:rsid w:val="001B07F0"/>
    <w:rsid w:val="001B0862"/>
    <w:rsid w:val="001B2C15"/>
    <w:rsid w:val="001B327A"/>
    <w:rsid w:val="001B450D"/>
    <w:rsid w:val="001B4745"/>
    <w:rsid w:val="001C067F"/>
    <w:rsid w:val="001C322B"/>
    <w:rsid w:val="001C6A95"/>
    <w:rsid w:val="001D0338"/>
    <w:rsid w:val="001D1660"/>
    <w:rsid w:val="001D4C9F"/>
    <w:rsid w:val="001D6C42"/>
    <w:rsid w:val="001D6D3D"/>
    <w:rsid w:val="001E26CF"/>
    <w:rsid w:val="001E33B3"/>
    <w:rsid w:val="001E3E68"/>
    <w:rsid w:val="001E5DC2"/>
    <w:rsid w:val="001F05EF"/>
    <w:rsid w:val="001F169F"/>
    <w:rsid w:val="001F2D8C"/>
    <w:rsid w:val="001F4025"/>
    <w:rsid w:val="001F71A8"/>
    <w:rsid w:val="00200EAE"/>
    <w:rsid w:val="0020164E"/>
    <w:rsid w:val="00204198"/>
    <w:rsid w:val="00206418"/>
    <w:rsid w:val="00211A5B"/>
    <w:rsid w:val="0021506D"/>
    <w:rsid w:val="00215682"/>
    <w:rsid w:val="00217995"/>
    <w:rsid w:val="00221EB6"/>
    <w:rsid w:val="00222008"/>
    <w:rsid w:val="00222F4B"/>
    <w:rsid w:val="0022495A"/>
    <w:rsid w:val="002252D6"/>
    <w:rsid w:val="0022592D"/>
    <w:rsid w:val="00226086"/>
    <w:rsid w:val="00226392"/>
    <w:rsid w:val="00230D77"/>
    <w:rsid w:val="002328F9"/>
    <w:rsid w:val="00232DAD"/>
    <w:rsid w:val="002346F9"/>
    <w:rsid w:val="00236C49"/>
    <w:rsid w:val="00236EEA"/>
    <w:rsid w:val="002373FB"/>
    <w:rsid w:val="0024221A"/>
    <w:rsid w:val="002430C6"/>
    <w:rsid w:val="002455D8"/>
    <w:rsid w:val="00251376"/>
    <w:rsid w:val="002518DE"/>
    <w:rsid w:val="00252FAB"/>
    <w:rsid w:val="00254EBE"/>
    <w:rsid w:val="00255022"/>
    <w:rsid w:val="0025572F"/>
    <w:rsid w:val="00255F25"/>
    <w:rsid w:val="00255F61"/>
    <w:rsid w:val="00260EDD"/>
    <w:rsid w:val="0026125E"/>
    <w:rsid w:val="002636FA"/>
    <w:rsid w:val="00264241"/>
    <w:rsid w:val="002679F5"/>
    <w:rsid w:val="00273F8F"/>
    <w:rsid w:val="00275DF8"/>
    <w:rsid w:val="00275EC1"/>
    <w:rsid w:val="00277387"/>
    <w:rsid w:val="0027783B"/>
    <w:rsid w:val="00280C6C"/>
    <w:rsid w:val="002825DC"/>
    <w:rsid w:val="002828DC"/>
    <w:rsid w:val="00286008"/>
    <w:rsid w:val="002904D0"/>
    <w:rsid w:val="00292DE4"/>
    <w:rsid w:val="00293AEE"/>
    <w:rsid w:val="00294821"/>
    <w:rsid w:val="00294827"/>
    <w:rsid w:val="0029496E"/>
    <w:rsid w:val="00295C33"/>
    <w:rsid w:val="0029682A"/>
    <w:rsid w:val="002969F5"/>
    <w:rsid w:val="002A0F4B"/>
    <w:rsid w:val="002A669F"/>
    <w:rsid w:val="002A7F4C"/>
    <w:rsid w:val="002B21EA"/>
    <w:rsid w:val="002B255B"/>
    <w:rsid w:val="002B27E0"/>
    <w:rsid w:val="002B750A"/>
    <w:rsid w:val="002C075B"/>
    <w:rsid w:val="002C0A9E"/>
    <w:rsid w:val="002C4529"/>
    <w:rsid w:val="002C6223"/>
    <w:rsid w:val="002C6E6F"/>
    <w:rsid w:val="002C709E"/>
    <w:rsid w:val="002D04FB"/>
    <w:rsid w:val="002D0C23"/>
    <w:rsid w:val="002D11E1"/>
    <w:rsid w:val="002D1FFF"/>
    <w:rsid w:val="002D254F"/>
    <w:rsid w:val="002D3B85"/>
    <w:rsid w:val="002D3C0D"/>
    <w:rsid w:val="002D5C03"/>
    <w:rsid w:val="002D6439"/>
    <w:rsid w:val="002D7212"/>
    <w:rsid w:val="002D7874"/>
    <w:rsid w:val="002E0C0C"/>
    <w:rsid w:val="002E451F"/>
    <w:rsid w:val="002F080D"/>
    <w:rsid w:val="002F1508"/>
    <w:rsid w:val="002F23E5"/>
    <w:rsid w:val="002F2536"/>
    <w:rsid w:val="002F2B9D"/>
    <w:rsid w:val="002F2E49"/>
    <w:rsid w:val="002F4A2A"/>
    <w:rsid w:val="002F515D"/>
    <w:rsid w:val="002F56EE"/>
    <w:rsid w:val="002F7BAD"/>
    <w:rsid w:val="0030038B"/>
    <w:rsid w:val="00300458"/>
    <w:rsid w:val="00300566"/>
    <w:rsid w:val="00300843"/>
    <w:rsid w:val="00301073"/>
    <w:rsid w:val="00302B7A"/>
    <w:rsid w:val="00302FBF"/>
    <w:rsid w:val="003040CE"/>
    <w:rsid w:val="003054D9"/>
    <w:rsid w:val="00310A5B"/>
    <w:rsid w:val="00315950"/>
    <w:rsid w:val="00317BAD"/>
    <w:rsid w:val="003217A8"/>
    <w:rsid w:val="003221DB"/>
    <w:rsid w:val="003270E8"/>
    <w:rsid w:val="00330D4E"/>
    <w:rsid w:val="0033100C"/>
    <w:rsid w:val="00331D75"/>
    <w:rsid w:val="00332F2C"/>
    <w:rsid w:val="00333DAC"/>
    <w:rsid w:val="00334251"/>
    <w:rsid w:val="00335C17"/>
    <w:rsid w:val="003362B5"/>
    <w:rsid w:val="00340E64"/>
    <w:rsid w:val="00346896"/>
    <w:rsid w:val="00346C87"/>
    <w:rsid w:val="00347D61"/>
    <w:rsid w:val="00350221"/>
    <w:rsid w:val="003535FB"/>
    <w:rsid w:val="0035487D"/>
    <w:rsid w:val="00355FED"/>
    <w:rsid w:val="003575FD"/>
    <w:rsid w:val="0036054A"/>
    <w:rsid w:val="00361D9E"/>
    <w:rsid w:val="00362EB8"/>
    <w:rsid w:val="003632AA"/>
    <w:rsid w:val="0036536A"/>
    <w:rsid w:val="00367D72"/>
    <w:rsid w:val="00370E32"/>
    <w:rsid w:val="003722A6"/>
    <w:rsid w:val="00374B07"/>
    <w:rsid w:val="00376045"/>
    <w:rsid w:val="0038479B"/>
    <w:rsid w:val="003857C1"/>
    <w:rsid w:val="00390629"/>
    <w:rsid w:val="00391AE5"/>
    <w:rsid w:val="00397A17"/>
    <w:rsid w:val="003A492B"/>
    <w:rsid w:val="003B4493"/>
    <w:rsid w:val="003B4901"/>
    <w:rsid w:val="003B6F6E"/>
    <w:rsid w:val="003B7836"/>
    <w:rsid w:val="003C1A7C"/>
    <w:rsid w:val="003C2911"/>
    <w:rsid w:val="003C4799"/>
    <w:rsid w:val="003C4847"/>
    <w:rsid w:val="003C4FFB"/>
    <w:rsid w:val="003C71A6"/>
    <w:rsid w:val="003D0001"/>
    <w:rsid w:val="003D0DA2"/>
    <w:rsid w:val="003D12C4"/>
    <w:rsid w:val="003D189E"/>
    <w:rsid w:val="003D56F8"/>
    <w:rsid w:val="003E0C10"/>
    <w:rsid w:val="003E2122"/>
    <w:rsid w:val="003E714C"/>
    <w:rsid w:val="003F141E"/>
    <w:rsid w:val="003F32C2"/>
    <w:rsid w:val="003F5D62"/>
    <w:rsid w:val="003F72EF"/>
    <w:rsid w:val="00403358"/>
    <w:rsid w:val="00403690"/>
    <w:rsid w:val="00403AA4"/>
    <w:rsid w:val="00404186"/>
    <w:rsid w:val="0040459D"/>
    <w:rsid w:val="00404FA5"/>
    <w:rsid w:val="00407B84"/>
    <w:rsid w:val="00414278"/>
    <w:rsid w:val="004142DA"/>
    <w:rsid w:val="00414A2F"/>
    <w:rsid w:val="00415C45"/>
    <w:rsid w:val="00416D26"/>
    <w:rsid w:val="00420F46"/>
    <w:rsid w:val="0042121E"/>
    <w:rsid w:val="0042191A"/>
    <w:rsid w:val="0042223C"/>
    <w:rsid w:val="004235E9"/>
    <w:rsid w:val="00424808"/>
    <w:rsid w:val="0042543E"/>
    <w:rsid w:val="0043057F"/>
    <w:rsid w:val="004320AA"/>
    <w:rsid w:val="0043262E"/>
    <w:rsid w:val="00433FD4"/>
    <w:rsid w:val="0043476A"/>
    <w:rsid w:val="00435C34"/>
    <w:rsid w:val="0044026C"/>
    <w:rsid w:val="00441F18"/>
    <w:rsid w:val="0044215C"/>
    <w:rsid w:val="004438CC"/>
    <w:rsid w:val="0044504F"/>
    <w:rsid w:val="0045098B"/>
    <w:rsid w:val="00451333"/>
    <w:rsid w:val="0045222D"/>
    <w:rsid w:val="00452976"/>
    <w:rsid w:val="004568ED"/>
    <w:rsid w:val="00463BA1"/>
    <w:rsid w:val="0046408A"/>
    <w:rsid w:val="00466B1B"/>
    <w:rsid w:val="00470246"/>
    <w:rsid w:val="004709F3"/>
    <w:rsid w:val="004710A0"/>
    <w:rsid w:val="00471F3F"/>
    <w:rsid w:val="004836B2"/>
    <w:rsid w:val="00485D86"/>
    <w:rsid w:val="0049001F"/>
    <w:rsid w:val="00493BA6"/>
    <w:rsid w:val="00494E4D"/>
    <w:rsid w:val="00495066"/>
    <w:rsid w:val="00496924"/>
    <w:rsid w:val="00497E14"/>
    <w:rsid w:val="004A0F89"/>
    <w:rsid w:val="004A1B95"/>
    <w:rsid w:val="004A1D67"/>
    <w:rsid w:val="004A598B"/>
    <w:rsid w:val="004A7DA7"/>
    <w:rsid w:val="004B024B"/>
    <w:rsid w:val="004B047E"/>
    <w:rsid w:val="004B1050"/>
    <w:rsid w:val="004B3BD0"/>
    <w:rsid w:val="004B4253"/>
    <w:rsid w:val="004B6F5D"/>
    <w:rsid w:val="004B7247"/>
    <w:rsid w:val="004C15E3"/>
    <w:rsid w:val="004C2425"/>
    <w:rsid w:val="004C2515"/>
    <w:rsid w:val="004C2B27"/>
    <w:rsid w:val="004C4098"/>
    <w:rsid w:val="004C6F3E"/>
    <w:rsid w:val="004C7257"/>
    <w:rsid w:val="004D0B2F"/>
    <w:rsid w:val="004D13C7"/>
    <w:rsid w:val="004D2B12"/>
    <w:rsid w:val="004D79AF"/>
    <w:rsid w:val="004E055C"/>
    <w:rsid w:val="004E0D75"/>
    <w:rsid w:val="004E2C2A"/>
    <w:rsid w:val="004E4B6E"/>
    <w:rsid w:val="004E4D7F"/>
    <w:rsid w:val="004E7D60"/>
    <w:rsid w:val="004F0E43"/>
    <w:rsid w:val="004F2404"/>
    <w:rsid w:val="004F28A0"/>
    <w:rsid w:val="004F45D0"/>
    <w:rsid w:val="004F56D9"/>
    <w:rsid w:val="004F7D10"/>
    <w:rsid w:val="00500976"/>
    <w:rsid w:val="00501B2C"/>
    <w:rsid w:val="00501F86"/>
    <w:rsid w:val="00502E54"/>
    <w:rsid w:val="00503DE4"/>
    <w:rsid w:val="00504675"/>
    <w:rsid w:val="00505FF4"/>
    <w:rsid w:val="00506293"/>
    <w:rsid w:val="00506683"/>
    <w:rsid w:val="00507D1D"/>
    <w:rsid w:val="00512086"/>
    <w:rsid w:val="005122E2"/>
    <w:rsid w:val="00514C0B"/>
    <w:rsid w:val="0051758C"/>
    <w:rsid w:val="00517903"/>
    <w:rsid w:val="005208CF"/>
    <w:rsid w:val="00520F3A"/>
    <w:rsid w:val="00524A84"/>
    <w:rsid w:val="0052590A"/>
    <w:rsid w:val="005277FD"/>
    <w:rsid w:val="0053069D"/>
    <w:rsid w:val="0053255A"/>
    <w:rsid w:val="0053349B"/>
    <w:rsid w:val="00534045"/>
    <w:rsid w:val="0053476E"/>
    <w:rsid w:val="00534A56"/>
    <w:rsid w:val="005354AB"/>
    <w:rsid w:val="00535DD7"/>
    <w:rsid w:val="00537D05"/>
    <w:rsid w:val="005403EC"/>
    <w:rsid w:val="005422F5"/>
    <w:rsid w:val="005425CA"/>
    <w:rsid w:val="00543879"/>
    <w:rsid w:val="005438F2"/>
    <w:rsid w:val="0054599F"/>
    <w:rsid w:val="00547DD7"/>
    <w:rsid w:val="0055193D"/>
    <w:rsid w:val="00551F23"/>
    <w:rsid w:val="00552E33"/>
    <w:rsid w:val="0055504C"/>
    <w:rsid w:val="00556709"/>
    <w:rsid w:val="00557CC3"/>
    <w:rsid w:val="005612ED"/>
    <w:rsid w:val="0056136F"/>
    <w:rsid w:val="005613BA"/>
    <w:rsid w:val="00561A05"/>
    <w:rsid w:val="00562016"/>
    <w:rsid w:val="00565495"/>
    <w:rsid w:val="005658FF"/>
    <w:rsid w:val="00567F6C"/>
    <w:rsid w:val="00570910"/>
    <w:rsid w:val="00571399"/>
    <w:rsid w:val="0057144F"/>
    <w:rsid w:val="005720D6"/>
    <w:rsid w:val="00573582"/>
    <w:rsid w:val="00574829"/>
    <w:rsid w:val="0057587B"/>
    <w:rsid w:val="00577FEA"/>
    <w:rsid w:val="00581566"/>
    <w:rsid w:val="005821D2"/>
    <w:rsid w:val="005832EF"/>
    <w:rsid w:val="00584790"/>
    <w:rsid w:val="00585F5D"/>
    <w:rsid w:val="005904D2"/>
    <w:rsid w:val="00591C48"/>
    <w:rsid w:val="00592A6C"/>
    <w:rsid w:val="00593705"/>
    <w:rsid w:val="005952C9"/>
    <w:rsid w:val="00596853"/>
    <w:rsid w:val="005A1BF9"/>
    <w:rsid w:val="005A2701"/>
    <w:rsid w:val="005A3687"/>
    <w:rsid w:val="005A4112"/>
    <w:rsid w:val="005A6227"/>
    <w:rsid w:val="005A6F5C"/>
    <w:rsid w:val="005B0F76"/>
    <w:rsid w:val="005B1983"/>
    <w:rsid w:val="005B2B07"/>
    <w:rsid w:val="005B3957"/>
    <w:rsid w:val="005C0A58"/>
    <w:rsid w:val="005C16EE"/>
    <w:rsid w:val="005C4368"/>
    <w:rsid w:val="005C6B1F"/>
    <w:rsid w:val="005D0D4E"/>
    <w:rsid w:val="005D382B"/>
    <w:rsid w:val="005D4749"/>
    <w:rsid w:val="005D4B42"/>
    <w:rsid w:val="005D6664"/>
    <w:rsid w:val="005D7B3A"/>
    <w:rsid w:val="005E067F"/>
    <w:rsid w:val="005E3196"/>
    <w:rsid w:val="005E43EA"/>
    <w:rsid w:val="005E4777"/>
    <w:rsid w:val="005E67AB"/>
    <w:rsid w:val="005E72A2"/>
    <w:rsid w:val="005F2B54"/>
    <w:rsid w:val="005F45C0"/>
    <w:rsid w:val="005F4D30"/>
    <w:rsid w:val="00600274"/>
    <w:rsid w:val="00600903"/>
    <w:rsid w:val="006032AA"/>
    <w:rsid w:val="006065B4"/>
    <w:rsid w:val="0061020D"/>
    <w:rsid w:val="00612057"/>
    <w:rsid w:val="006144F9"/>
    <w:rsid w:val="00622DDA"/>
    <w:rsid w:val="00625CC2"/>
    <w:rsid w:val="00626A9C"/>
    <w:rsid w:val="00636145"/>
    <w:rsid w:val="006367AA"/>
    <w:rsid w:val="00636855"/>
    <w:rsid w:val="00636F31"/>
    <w:rsid w:val="006377E6"/>
    <w:rsid w:val="006416DE"/>
    <w:rsid w:val="00641726"/>
    <w:rsid w:val="00643B30"/>
    <w:rsid w:val="00643FC5"/>
    <w:rsid w:val="006441F0"/>
    <w:rsid w:val="0064450C"/>
    <w:rsid w:val="006473A3"/>
    <w:rsid w:val="00651358"/>
    <w:rsid w:val="006523C5"/>
    <w:rsid w:val="0065261B"/>
    <w:rsid w:val="00653DBA"/>
    <w:rsid w:val="00656084"/>
    <w:rsid w:val="00661BA7"/>
    <w:rsid w:val="00661C7D"/>
    <w:rsid w:val="006631F7"/>
    <w:rsid w:val="00663DF9"/>
    <w:rsid w:val="00667CEE"/>
    <w:rsid w:val="00667D8A"/>
    <w:rsid w:val="00672142"/>
    <w:rsid w:val="00672DAD"/>
    <w:rsid w:val="00673242"/>
    <w:rsid w:val="00674534"/>
    <w:rsid w:val="0067716F"/>
    <w:rsid w:val="00677580"/>
    <w:rsid w:val="006830A4"/>
    <w:rsid w:val="0068320F"/>
    <w:rsid w:val="0068569F"/>
    <w:rsid w:val="006A0779"/>
    <w:rsid w:val="006A1476"/>
    <w:rsid w:val="006A156F"/>
    <w:rsid w:val="006A2BFE"/>
    <w:rsid w:val="006A3422"/>
    <w:rsid w:val="006A4A9A"/>
    <w:rsid w:val="006A7C0D"/>
    <w:rsid w:val="006B2198"/>
    <w:rsid w:val="006B2693"/>
    <w:rsid w:val="006B6BFC"/>
    <w:rsid w:val="006B71E0"/>
    <w:rsid w:val="006B7454"/>
    <w:rsid w:val="006C2E7A"/>
    <w:rsid w:val="006C5DAE"/>
    <w:rsid w:val="006C69A2"/>
    <w:rsid w:val="006C6C68"/>
    <w:rsid w:val="006C72D9"/>
    <w:rsid w:val="006D2F43"/>
    <w:rsid w:val="006D55D1"/>
    <w:rsid w:val="006D5D70"/>
    <w:rsid w:val="006D7908"/>
    <w:rsid w:val="006E07DC"/>
    <w:rsid w:val="006E08CE"/>
    <w:rsid w:val="006E37A2"/>
    <w:rsid w:val="006E4403"/>
    <w:rsid w:val="006F09C5"/>
    <w:rsid w:val="006F17D3"/>
    <w:rsid w:val="006F33DC"/>
    <w:rsid w:val="006F6516"/>
    <w:rsid w:val="006F7C16"/>
    <w:rsid w:val="00701785"/>
    <w:rsid w:val="007129FB"/>
    <w:rsid w:val="00714408"/>
    <w:rsid w:val="00715103"/>
    <w:rsid w:val="0071678A"/>
    <w:rsid w:val="00717746"/>
    <w:rsid w:val="00720C3E"/>
    <w:rsid w:val="00721591"/>
    <w:rsid w:val="00721A3D"/>
    <w:rsid w:val="00721ECE"/>
    <w:rsid w:val="00721F09"/>
    <w:rsid w:val="00723C87"/>
    <w:rsid w:val="0072421E"/>
    <w:rsid w:val="007263D8"/>
    <w:rsid w:val="00730EB1"/>
    <w:rsid w:val="007363B0"/>
    <w:rsid w:val="007429B5"/>
    <w:rsid w:val="007516DB"/>
    <w:rsid w:val="0075306C"/>
    <w:rsid w:val="007544A7"/>
    <w:rsid w:val="00754D75"/>
    <w:rsid w:val="00755FA3"/>
    <w:rsid w:val="00756605"/>
    <w:rsid w:val="00762C03"/>
    <w:rsid w:val="00763D52"/>
    <w:rsid w:val="00764232"/>
    <w:rsid w:val="00767281"/>
    <w:rsid w:val="00771CAE"/>
    <w:rsid w:val="0077243F"/>
    <w:rsid w:val="007740E0"/>
    <w:rsid w:val="007761BD"/>
    <w:rsid w:val="0077721D"/>
    <w:rsid w:val="00780E88"/>
    <w:rsid w:val="00782E71"/>
    <w:rsid w:val="007830E1"/>
    <w:rsid w:val="00791ACA"/>
    <w:rsid w:val="0079218E"/>
    <w:rsid w:val="007929CB"/>
    <w:rsid w:val="00792EAD"/>
    <w:rsid w:val="007935C9"/>
    <w:rsid w:val="00795478"/>
    <w:rsid w:val="007960BD"/>
    <w:rsid w:val="007960F7"/>
    <w:rsid w:val="00797109"/>
    <w:rsid w:val="00797A77"/>
    <w:rsid w:val="007A012C"/>
    <w:rsid w:val="007A2280"/>
    <w:rsid w:val="007A3463"/>
    <w:rsid w:val="007A354C"/>
    <w:rsid w:val="007A38D9"/>
    <w:rsid w:val="007A5ECB"/>
    <w:rsid w:val="007A6E35"/>
    <w:rsid w:val="007B0355"/>
    <w:rsid w:val="007B1D54"/>
    <w:rsid w:val="007B247C"/>
    <w:rsid w:val="007B25FD"/>
    <w:rsid w:val="007B2DCF"/>
    <w:rsid w:val="007B4040"/>
    <w:rsid w:val="007B5E8F"/>
    <w:rsid w:val="007B65D2"/>
    <w:rsid w:val="007B695F"/>
    <w:rsid w:val="007B7AF0"/>
    <w:rsid w:val="007C2C8C"/>
    <w:rsid w:val="007C2E1A"/>
    <w:rsid w:val="007C50EF"/>
    <w:rsid w:val="007C56D7"/>
    <w:rsid w:val="007C64F3"/>
    <w:rsid w:val="007C74E9"/>
    <w:rsid w:val="007D0A53"/>
    <w:rsid w:val="007D2E33"/>
    <w:rsid w:val="007D3257"/>
    <w:rsid w:val="007D33A9"/>
    <w:rsid w:val="007D38A7"/>
    <w:rsid w:val="007D4D83"/>
    <w:rsid w:val="007D5DA3"/>
    <w:rsid w:val="007D6C92"/>
    <w:rsid w:val="007D7E7B"/>
    <w:rsid w:val="007E0C26"/>
    <w:rsid w:val="007F14DD"/>
    <w:rsid w:val="007F28D2"/>
    <w:rsid w:val="007F4736"/>
    <w:rsid w:val="007F74AC"/>
    <w:rsid w:val="0080483D"/>
    <w:rsid w:val="008049C5"/>
    <w:rsid w:val="008053E4"/>
    <w:rsid w:val="00805A94"/>
    <w:rsid w:val="00805BB6"/>
    <w:rsid w:val="0080615B"/>
    <w:rsid w:val="008074EC"/>
    <w:rsid w:val="008140E9"/>
    <w:rsid w:val="0081717C"/>
    <w:rsid w:val="00817971"/>
    <w:rsid w:val="0082240D"/>
    <w:rsid w:val="00825C97"/>
    <w:rsid w:val="00831FD9"/>
    <w:rsid w:val="00832A42"/>
    <w:rsid w:val="00833158"/>
    <w:rsid w:val="00837157"/>
    <w:rsid w:val="008420EF"/>
    <w:rsid w:val="008438C4"/>
    <w:rsid w:val="00843E3E"/>
    <w:rsid w:val="00847CEE"/>
    <w:rsid w:val="00851CE2"/>
    <w:rsid w:val="00854829"/>
    <w:rsid w:val="008577F8"/>
    <w:rsid w:val="00860C72"/>
    <w:rsid w:val="0086384E"/>
    <w:rsid w:val="0086631C"/>
    <w:rsid w:val="008731BF"/>
    <w:rsid w:val="00873B15"/>
    <w:rsid w:val="00873B55"/>
    <w:rsid w:val="00875721"/>
    <w:rsid w:val="00876F68"/>
    <w:rsid w:val="00877ACB"/>
    <w:rsid w:val="00880998"/>
    <w:rsid w:val="00881ED2"/>
    <w:rsid w:val="00884349"/>
    <w:rsid w:val="00885839"/>
    <w:rsid w:val="0088683B"/>
    <w:rsid w:val="0088737B"/>
    <w:rsid w:val="008878DC"/>
    <w:rsid w:val="00887F2D"/>
    <w:rsid w:val="00890B13"/>
    <w:rsid w:val="008944A9"/>
    <w:rsid w:val="00894533"/>
    <w:rsid w:val="00895A02"/>
    <w:rsid w:val="00895B09"/>
    <w:rsid w:val="00895C41"/>
    <w:rsid w:val="008963B3"/>
    <w:rsid w:val="00896F40"/>
    <w:rsid w:val="008975D8"/>
    <w:rsid w:val="008979EC"/>
    <w:rsid w:val="008A2929"/>
    <w:rsid w:val="008A3547"/>
    <w:rsid w:val="008A4658"/>
    <w:rsid w:val="008A4A4A"/>
    <w:rsid w:val="008A7129"/>
    <w:rsid w:val="008B301D"/>
    <w:rsid w:val="008B62D8"/>
    <w:rsid w:val="008C09B4"/>
    <w:rsid w:val="008D037E"/>
    <w:rsid w:val="008D0E5B"/>
    <w:rsid w:val="008D43A4"/>
    <w:rsid w:val="008D4AD6"/>
    <w:rsid w:val="008D556C"/>
    <w:rsid w:val="008D77E2"/>
    <w:rsid w:val="008E14A9"/>
    <w:rsid w:val="008E32A0"/>
    <w:rsid w:val="008E36DE"/>
    <w:rsid w:val="008E3AFF"/>
    <w:rsid w:val="008E56AC"/>
    <w:rsid w:val="008E57EA"/>
    <w:rsid w:val="008E58CA"/>
    <w:rsid w:val="008E6476"/>
    <w:rsid w:val="008F0302"/>
    <w:rsid w:val="008F208C"/>
    <w:rsid w:val="008F3350"/>
    <w:rsid w:val="008F3675"/>
    <w:rsid w:val="00901873"/>
    <w:rsid w:val="0090267B"/>
    <w:rsid w:val="00907548"/>
    <w:rsid w:val="00913746"/>
    <w:rsid w:val="00914959"/>
    <w:rsid w:val="00915FE7"/>
    <w:rsid w:val="0092121D"/>
    <w:rsid w:val="009219BB"/>
    <w:rsid w:val="009225BC"/>
    <w:rsid w:val="00922749"/>
    <w:rsid w:val="009238E5"/>
    <w:rsid w:val="009244B2"/>
    <w:rsid w:val="00924949"/>
    <w:rsid w:val="0092572F"/>
    <w:rsid w:val="009265B0"/>
    <w:rsid w:val="00926CD8"/>
    <w:rsid w:val="00927200"/>
    <w:rsid w:val="00930B97"/>
    <w:rsid w:val="00932E85"/>
    <w:rsid w:val="00934A23"/>
    <w:rsid w:val="00936273"/>
    <w:rsid w:val="00937616"/>
    <w:rsid w:val="009427C0"/>
    <w:rsid w:val="00945CFC"/>
    <w:rsid w:val="009503B3"/>
    <w:rsid w:val="00951FCA"/>
    <w:rsid w:val="00952DAC"/>
    <w:rsid w:val="0095570B"/>
    <w:rsid w:val="00956F9E"/>
    <w:rsid w:val="0096133A"/>
    <w:rsid w:val="00967262"/>
    <w:rsid w:val="009705F1"/>
    <w:rsid w:val="009708A1"/>
    <w:rsid w:val="00972011"/>
    <w:rsid w:val="0097245C"/>
    <w:rsid w:val="00973EA2"/>
    <w:rsid w:val="00974FEF"/>
    <w:rsid w:val="0097532C"/>
    <w:rsid w:val="00975E36"/>
    <w:rsid w:val="00977B19"/>
    <w:rsid w:val="009801B5"/>
    <w:rsid w:val="00980FA1"/>
    <w:rsid w:val="0098207E"/>
    <w:rsid w:val="009831B6"/>
    <w:rsid w:val="009841D9"/>
    <w:rsid w:val="009871A5"/>
    <w:rsid w:val="009914E3"/>
    <w:rsid w:val="00994328"/>
    <w:rsid w:val="00996795"/>
    <w:rsid w:val="009A08E2"/>
    <w:rsid w:val="009A171F"/>
    <w:rsid w:val="009A25AA"/>
    <w:rsid w:val="009A52CC"/>
    <w:rsid w:val="009C070C"/>
    <w:rsid w:val="009C07E1"/>
    <w:rsid w:val="009C0F7F"/>
    <w:rsid w:val="009C16DA"/>
    <w:rsid w:val="009C5A74"/>
    <w:rsid w:val="009C6932"/>
    <w:rsid w:val="009D0F1D"/>
    <w:rsid w:val="009D1F85"/>
    <w:rsid w:val="009D2213"/>
    <w:rsid w:val="009D40A1"/>
    <w:rsid w:val="009D4F96"/>
    <w:rsid w:val="009D5175"/>
    <w:rsid w:val="009D5325"/>
    <w:rsid w:val="009D65A1"/>
    <w:rsid w:val="009E026C"/>
    <w:rsid w:val="009E2575"/>
    <w:rsid w:val="009E39B0"/>
    <w:rsid w:val="009E68B7"/>
    <w:rsid w:val="009E7B2A"/>
    <w:rsid w:val="009F36EF"/>
    <w:rsid w:val="009F3709"/>
    <w:rsid w:val="009F41CD"/>
    <w:rsid w:val="009F5CE4"/>
    <w:rsid w:val="00A00680"/>
    <w:rsid w:val="00A02E39"/>
    <w:rsid w:val="00A03C02"/>
    <w:rsid w:val="00A0628D"/>
    <w:rsid w:val="00A078B5"/>
    <w:rsid w:val="00A108DA"/>
    <w:rsid w:val="00A12F52"/>
    <w:rsid w:val="00A13F25"/>
    <w:rsid w:val="00A13F79"/>
    <w:rsid w:val="00A17575"/>
    <w:rsid w:val="00A179F2"/>
    <w:rsid w:val="00A209CF"/>
    <w:rsid w:val="00A22C21"/>
    <w:rsid w:val="00A23387"/>
    <w:rsid w:val="00A243E0"/>
    <w:rsid w:val="00A272AC"/>
    <w:rsid w:val="00A27B44"/>
    <w:rsid w:val="00A333CF"/>
    <w:rsid w:val="00A34E1A"/>
    <w:rsid w:val="00A413B1"/>
    <w:rsid w:val="00A42BB6"/>
    <w:rsid w:val="00A43076"/>
    <w:rsid w:val="00A4454E"/>
    <w:rsid w:val="00A455B0"/>
    <w:rsid w:val="00A45B26"/>
    <w:rsid w:val="00A45DCA"/>
    <w:rsid w:val="00A46148"/>
    <w:rsid w:val="00A462AA"/>
    <w:rsid w:val="00A50499"/>
    <w:rsid w:val="00A506A9"/>
    <w:rsid w:val="00A5180A"/>
    <w:rsid w:val="00A535F0"/>
    <w:rsid w:val="00A6485B"/>
    <w:rsid w:val="00A64FA4"/>
    <w:rsid w:val="00A655AA"/>
    <w:rsid w:val="00A704E2"/>
    <w:rsid w:val="00A72081"/>
    <w:rsid w:val="00A73032"/>
    <w:rsid w:val="00A7381B"/>
    <w:rsid w:val="00A7511D"/>
    <w:rsid w:val="00A757EF"/>
    <w:rsid w:val="00A81845"/>
    <w:rsid w:val="00A81945"/>
    <w:rsid w:val="00A82CFE"/>
    <w:rsid w:val="00A86C15"/>
    <w:rsid w:val="00A92735"/>
    <w:rsid w:val="00A9361F"/>
    <w:rsid w:val="00A93D1D"/>
    <w:rsid w:val="00A9531B"/>
    <w:rsid w:val="00A959B2"/>
    <w:rsid w:val="00AA06F6"/>
    <w:rsid w:val="00AA2876"/>
    <w:rsid w:val="00AA30E6"/>
    <w:rsid w:val="00AA3EB3"/>
    <w:rsid w:val="00AA44C8"/>
    <w:rsid w:val="00AA493C"/>
    <w:rsid w:val="00AB3427"/>
    <w:rsid w:val="00AB353F"/>
    <w:rsid w:val="00AB43DD"/>
    <w:rsid w:val="00AB6ACD"/>
    <w:rsid w:val="00AC069D"/>
    <w:rsid w:val="00AC1246"/>
    <w:rsid w:val="00AC127B"/>
    <w:rsid w:val="00AC2184"/>
    <w:rsid w:val="00AC2EDE"/>
    <w:rsid w:val="00AD1045"/>
    <w:rsid w:val="00AD3BB2"/>
    <w:rsid w:val="00AD447E"/>
    <w:rsid w:val="00AD774D"/>
    <w:rsid w:val="00AE1191"/>
    <w:rsid w:val="00AE1F35"/>
    <w:rsid w:val="00AE1F80"/>
    <w:rsid w:val="00AE4B99"/>
    <w:rsid w:val="00AE68E5"/>
    <w:rsid w:val="00AF0E2B"/>
    <w:rsid w:val="00AF1175"/>
    <w:rsid w:val="00AF3294"/>
    <w:rsid w:val="00AF3E10"/>
    <w:rsid w:val="00AF65BB"/>
    <w:rsid w:val="00B00FD7"/>
    <w:rsid w:val="00B019AC"/>
    <w:rsid w:val="00B04B95"/>
    <w:rsid w:val="00B067FA"/>
    <w:rsid w:val="00B11464"/>
    <w:rsid w:val="00B135F3"/>
    <w:rsid w:val="00B16324"/>
    <w:rsid w:val="00B16A10"/>
    <w:rsid w:val="00B208C2"/>
    <w:rsid w:val="00B209E2"/>
    <w:rsid w:val="00B20C89"/>
    <w:rsid w:val="00B20FB6"/>
    <w:rsid w:val="00B21A33"/>
    <w:rsid w:val="00B2416B"/>
    <w:rsid w:val="00B277F3"/>
    <w:rsid w:val="00B31AF1"/>
    <w:rsid w:val="00B344A1"/>
    <w:rsid w:val="00B35006"/>
    <w:rsid w:val="00B35B1F"/>
    <w:rsid w:val="00B4231D"/>
    <w:rsid w:val="00B440E3"/>
    <w:rsid w:val="00B45DDC"/>
    <w:rsid w:val="00B46E35"/>
    <w:rsid w:val="00B46F10"/>
    <w:rsid w:val="00B501C0"/>
    <w:rsid w:val="00B50E6E"/>
    <w:rsid w:val="00B52193"/>
    <w:rsid w:val="00B54BC7"/>
    <w:rsid w:val="00B56112"/>
    <w:rsid w:val="00B5676F"/>
    <w:rsid w:val="00B5778C"/>
    <w:rsid w:val="00B60B20"/>
    <w:rsid w:val="00B6591C"/>
    <w:rsid w:val="00B669FC"/>
    <w:rsid w:val="00B67353"/>
    <w:rsid w:val="00B70627"/>
    <w:rsid w:val="00B715C3"/>
    <w:rsid w:val="00B71D6E"/>
    <w:rsid w:val="00B73B4A"/>
    <w:rsid w:val="00B77B5A"/>
    <w:rsid w:val="00B8546E"/>
    <w:rsid w:val="00B86B0F"/>
    <w:rsid w:val="00B86C96"/>
    <w:rsid w:val="00B87837"/>
    <w:rsid w:val="00B90231"/>
    <w:rsid w:val="00B9072B"/>
    <w:rsid w:val="00B9139E"/>
    <w:rsid w:val="00B913E8"/>
    <w:rsid w:val="00B919D5"/>
    <w:rsid w:val="00B94BBA"/>
    <w:rsid w:val="00B95676"/>
    <w:rsid w:val="00B95D75"/>
    <w:rsid w:val="00B96A80"/>
    <w:rsid w:val="00B96E56"/>
    <w:rsid w:val="00B97C2E"/>
    <w:rsid w:val="00B97C81"/>
    <w:rsid w:val="00BA4869"/>
    <w:rsid w:val="00BB26E0"/>
    <w:rsid w:val="00BB528F"/>
    <w:rsid w:val="00BB5E2F"/>
    <w:rsid w:val="00BC4827"/>
    <w:rsid w:val="00BC5FFF"/>
    <w:rsid w:val="00BC68EA"/>
    <w:rsid w:val="00BD32F5"/>
    <w:rsid w:val="00BD6B5D"/>
    <w:rsid w:val="00BD72F1"/>
    <w:rsid w:val="00BE0032"/>
    <w:rsid w:val="00BE0A5E"/>
    <w:rsid w:val="00BE1E06"/>
    <w:rsid w:val="00BE1ECE"/>
    <w:rsid w:val="00BE22A8"/>
    <w:rsid w:val="00BE275A"/>
    <w:rsid w:val="00BE3AED"/>
    <w:rsid w:val="00BE50D9"/>
    <w:rsid w:val="00BE7874"/>
    <w:rsid w:val="00BF16A4"/>
    <w:rsid w:val="00BF2BB2"/>
    <w:rsid w:val="00BF41DF"/>
    <w:rsid w:val="00BF4930"/>
    <w:rsid w:val="00BF767E"/>
    <w:rsid w:val="00BF7880"/>
    <w:rsid w:val="00C01276"/>
    <w:rsid w:val="00C012EB"/>
    <w:rsid w:val="00C022DD"/>
    <w:rsid w:val="00C045BA"/>
    <w:rsid w:val="00C05945"/>
    <w:rsid w:val="00C05D1A"/>
    <w:rsid w:val="00C06038"/>
    <w:rsid w:val="00C06A73"/>
    <w:rsid w:val="00C10365"/>
    <w:rsid w:val="00C104D6"/>
    <w:rsid w:val="00C11670"/>
    <w:rsid w:val="00C1315A"/>
    <w:rsid w:val="00C14FA8"/>
    <w:rsid w:val="00C150E0"/>
    <w:rsid w:val="00C1669B"/>
    <w:rsid w:val="00C16F52"/>
    <w:rsid w:val="00C176BC"/>
    <w:rsid w:val="00C1791C"/>
    <w:rsid w:val="00C20515"/>
    <w:rsid w:val="00C221FC"/>
    <w:rsid w:val="00C2224C"/>
    <w:rsid w:val="00C234E1"/>
    <w:rsid w:val="00C24A15"/>
    <w:rsid w:val="00C27773"/>
    <w:rsid w:val="00C30E31"/>
    <w:rsid w:val="00C33CE0"/>
    <w:rsid w:val="00C34954"/>
    <w:rsid w:val="00C3532A"/>
    <w:rsid w:val="00C35770"/>
    <w:rsid w:val="00C36A4E"/>
    <w:rsid w:val="00C36B42"/>
    <w:rsid w:val="00C41B4F"/>
    <w:rsid w:val="00C45839"/>
    <w:rsid w:val="00C45D46"/>
    <w:rsid w:val="00C46608"/>
    <w:rsid w:val="00C4676B"/>
    <w:rsid w:val="00C513A6"/>
    <w:rsid w:val="00C5177D"/>
    <w:rsid w:val="00C52538"/>
    <w:rsid w:val="00C52C1D"/>
    <w:rsid w:val="00C531BF"/>
    <w:rsid w:val="00C53B44"/>
    <w:rsid w:val="00C60D15"/>
    <w:rsid w:val="00C631C9"/>
    <w:rsid w:val="00C65DB7"/>
    <w:rsid w:val="00C66A73"/>
    <w:rsid w:val="00C704EF"/>
    <w:rsid w:val="00C706A0"/>
    <w:rsid w:val="00C72283"/>
    <w:rsid w:val="00C72C9C"/>
    <w:rsid w:val="00C72F3F"/>
    <w:rsid w:val="00C73443"/>
    <w:rsid w:val="00C759E7"/>
    <w:rsid w:val="00C75D15"/>
    <w:rsid w:val="00C802A5"/>
    <w:rsid w:val="00C80CA7"/>
    <w:rsid w:val="00C815B5"/>
    <w:rsid w:val="00C81D8C"/>
    <w:rsid w:val="00C84311"/>
    <w:rsid w:val="00C851F6"/>
    <w:rsid w:val="00C877BA"/>
    <w:rsid w:val="00C90846"/>
    <w:rsid w:val="00C90BE1"/>
    <w:rsid w:val="00C938F5"/>
    <w:rsid w:val="00C95432"/>
    <w:rsid w:val="00C96D1F"/>
    <w:rsid w:val="00CA4957"/>
    <w:rsid w:val="00CA67E8"/>
    <w:rsid w:val="00CA7761"/>
    <w:rsid w:val="00CB4971"/>
    <w:rsid w:val="00CB499A"/>
    <w:rsid w:val="00CB5692"/>
    <w:rsid w:val="00CB5DFA"/>
    <w:rsid w:val="00CB6625"/>
    <w:rsid w:val="00CC14B9"/>
    <w:rsid w:val="00CC3A5C"/>
    <w:rsid w:val="00CC5DD9"/>
    <w:rsid w:val="00CC65B2"/>
    <w:rsid w:val="00CD5B9A"/>
    <w:rsid w:val="00CE023E"/>
    <w:rsid w:val="00CE14AA"/>
    <w:rsid w:val="00CE2D41"/>
    <w:rsid w:val="00CE4834"/>
    <w:rsid w:val="00CE61B1"/>
    <w:rsid w:val="00CE65FF"/>
    <w:rsid w:val="00CE7154"/>
    <w:rsid w:val="00CE7982"/>
    <w:rsid w:val="00CF0BA3"/>
    <w:rsid w:val="00CF115F"/>
    <w:rsid w:val="00CF17F9"/>
    <w:rsid w:val="00D006D3"/>
    <w:rsid w:val="00D020DF"/>
    <w:rsid w:val="00D022C7"/>
    <w:rsid w:val="00D03041"/>
    <w:rsid w:val="00D03886"/>
    <w:rsid w:val="00D04052"/>
    <w:rsid w:val="00D06924"/>
    <w:rsid w:val="00D07058"/>
    <w:rsid w:val="00D104C6"/>
    <w:rsid w:val="00D13217"/>
    <w:rsid w:val="00D20213"/>
    <w:rsid w:val="00D2149D"/>
    <w:rsid w:val="00D24470"/>
    <w:rsid w:val="00D26443"/>
    <w:rsid w:val="00D31EB9"/>
    <w:rsid w:val="00D35EBA"/>
    <w:rsid w:val="00D4118B"/>
    <w:rsid w:val="00D41309"/>
    <w:rsid w:val="00D413F6"/>
    <w:rsid w:val="00D42EB5"/>
    <w:rsid w:val="00D455AC"/>
    <w:rsid w:val="00D4630A"/>
    <w:rsid w:val="00D47FB9"/>
    <w:rsid w:val="00D502BB"/>
    <w:rsid w:val="00D527B5"/>
    <w:rsid w:val="00D52AAE"/>
    <w:rsid w:val="00D530D7"/>
    <w:rsid w:val="00D54674"/>
    <w:rsid w:val="00D57B36"/>
    <w:rsid w:val="00D62960"/>
    <w:rsid w:val="00D629B0"/>
    <w:rsid w:val="00D631EF"/>
    <w:rsid w:val="00D652D8"/>
    <w:rsid w:val="00D65BE7"/>
    <w:rsid w:val="00D67402"/>
    <w:rsid w:val="00D753F0"/>
    <w:rsid w:val="00D76F2D"/>
    <w:rsid w:val="00D813DA"/>
    <w:rsid w:val="00D813F8"/>
    <w:rsid w:val="00D846FB"/>
    <w:rsid w:val="00D9095D"/>
    <w:rsid w:val="00D9380E"/>
    <w:rsid w:val="00D94AE9"/>
    <w:rsid w:val="00D94B6D"/>
    <w:rsid w:val="00DA1FB3"/>
    <w:rsid w:val="00DA2AE5"/>
    <w:rsid w:val="00DA75C4"/>
    <w:rsid w:val="00DB297E"/>
    <w:rsid w:val="00DB31EB"/>
    <w:rsid w:val="00DB31F0"/>
    <w:rsid w:val="00DB3B55"/>
    <w:rsid w:val="00DB44D1"/>
    <w:rsid w:val="00DC1DF9"/>
    <w:rsid w:val="00DC7425"/>
    <w:rsid w:val="00DD09EB"/>
    <w:rsid w:val="00DD0BBB"/>
    <w:rsid w:val="00DD753C"/>
    <w:rsid w:val="00DE0228"/>
    <w:rsid w:val="00DE03DA"/>
    <w:rsid w:val="00DE3799"/>
    <w:rsid w:val="00DE49F6"/>
    <w:rsid w:val="00DE6307"/>
    <w:rsid w:val="00DE6871"/>
    <w:rsid w:val="00DF1C8D"/>
    <w:rsid w:val="00DF2B87"/>
    <w:rsid w:val="00DF3459"/>
    <w:rsid w:val="00DF5843"/>
    <w:rsid w:val="00E015AC"/>
    <w:rsid w:val="00E0614C"/>
    <w:rsid w:val="00E061FE"/>
    <w:rsid w:val="00E105FF"/>
    <w:rsid w:val="00E11377"/>
    <w:rsid w:val="00E135AE"/>
    <w:rsid w:val="00E13C13"/>
    <w:rsid w:val="00E2084A"/>
    <w:rsid w:val="00E22060"/>
    <w:rsid w:val="00E22E0D"/>
    <w:rsid w:val="00E27E79"/>
    <w:rsid w:val="00E30BC3"/>
    <w:rsid w:val="00E30CEF"/>
    <w:rsid w:val="00E3128D"/>
    <w:rsid w:val="00E364A0"/>
    <w:rsid w:val="00E41CC5"/>
    <w:rsid w:val="00E427A3"/>
    <w:rsid w:val="00E42BFA"/>
    <w:rsid w:val="00E4342A"/>
    <w:rsid w:val="00E45A8C"/>
    <w:rsid w:val="00E51159"/>
    <w:rsid w:val="00E52940"/>
    <w:rsid w:val="00E52A31"/>
    <w:rsid w:val="00E531B9"/>
    <w:rsid w:val="00E53819"/>
    <w:rsid w:val="00E572E6"/>
    <w:rsid w:val="00E573D3"/>
    <w:rsid w:val="00E63280"/>
    <w:rsid w:val="00E632ED"/>
    <w:rsid w:val="00E6517A"/>
    <w:rsid w:val="00E668F6"/>
    <w:rsid w:val="00E67423"/>
    <w:rsid w:val="00E67770"/>
    <w:rsid w:val="00E70A18"/>
    <w:rsid w:val="00E72D94"/>
    <w:rsid w:val="00E730AC"/>
    <w:rsid w:val="00E73FE9"/>
    <w:rsid w:val="00E759E2"/>
    <w:rsid w:val="00E77B6D"/>
    <w:rsid w:val="00E830CA"/>
    <w:rsid w:val="00E83B4C"/>
    <w:rsid w:val="00E86008"/>
    <w:rsid w:val="00E861EF"/>
    <w:rsid w:val="00E8639F"/>
    <w:rsid w:val="00E86D0E"/>
    <w:rsid w:val="00E90166"/>
    <w:rsid w:val="00E90B6B"/>
    <w:rsid w:val="00E941E9"/>
    <w:rsid w:val="00E949D7"/>
    <w:rsid w:val="00E94A0A"/>
    <w:rsid w:val="00E94FA3"/>
    <w:rsid w:val="00E959E8"/>
    <w:rsid w:val="00E97509"/>
    <w:rsid w:val="00E97A60"/>
    <w:rsid w:val="00EA14F3"/>
    <w:rsid w:val="00EA2985"/>
    <w:rsid w:val="00EA46A7"/>
    <w:rsid w:val="00EA4CD0"/>
    <w:rsid w:val="00EA4D47"/>
    <w:rsid w:val="00EA5E80"/>
    <w:rsid w:val="00EB3E05"/>
    <w:rsid w:val="00EC1A34"/>
    <w:rsid w:val="00EC1D94"/>
    <w:rsid w:val="00EC239D"/>
    <w:rsid w:val="00EC45C1"/>
    <w:rsid w:val="00EC5EA6"/>
    <w:rsid w:val="00EC6495"/>
    <w:rsid w:val="00ED1E7E"/>
    <w:rsid w:val="00ED2363"/>
    <w:rsid w:val="00ED3A87"/>
    <w:rsid w:val="00ED4F82"/>
    <w:rsid w:val="00ED54CD"/>
    <w:rsid w:val="00ED5718"/>
    <w:rsid w:val="00ED73CF"/>
    <w:rsid w:val="00ED7548"/>
    <w:rsid w:val="00EE6A1B"/>
    <w:rsid w:val="00EE75B0"/>
    <w:rsid w:val="00EF2C66"/>
    <w:rsid w:val="00EF43B0"/>
    <w:rsid w:val="00EF4D28"/>
    <w:rsid w:val="00EF4D46"/>
    <w:rsid w:val="00EF7C09"/>
    <w:rsid w:val="00F02300"/>
    <w:rsid w:val="00F03BAB"/>
    <w:rsid w:val="00F058E8"/>
    <w:rsid w:val="00F07990"/>
    <w:rsid w:val="00F07B54"/>
    <w:rsid w:val="00F232DC"/>
    <w:rsid w:val="00F2374B"/>
    <w:rsid w:val="00F24253"/>
    <w:rsid w:val="00F24B9F"/>
    <w:rsid w:val="00F30335"/>
    <w:rsid w:val="00F316CE"/>
    <w:rsid w:val="00F3251D"/>
    <w:rsid w:val="00F3574D"/>
    <w:rsid w:val="00F40832"/>
    <w:rsid w:val="00F4150D"/>
    <w:rsid w:val="00F44306"/>
    <w:rsid w:val="00F450C4"/>
    <w:rsid w:val="00F45D43"/>
    <w:rsid w:val="00F505E1"/>
    <w:rsid w:val="00F50F5F"/>
    <w:rsid w:val="00F511BD"/>
    <w:rsid w:val="00F5331A"/>
    <w:rsid w:val="00F53D71"/>
    <w:rsid w:val="00F546EE"/>
    <w:rsid w:val="00F56D50"/>
    <w:rsid w:val="00F610FE"/>
    <w:rsid w:val="00F61366"/>
    <w:rsid w:val="00F618C3"/>
    <w:rsid w:val="00F6360B"/>
    <w:rsid w:val="00F6440A"/>
    <w:rsid w:val="00F66516"/>
    <w:rsid w:val="00F675AA"/>
    <w:rsid w:val="00F7254D"/>
    <w:rsid w:val="00F725D5"/>
    <w:rsid w:val="00F73093"/>
    <w:rsid w:val="00F754B7"/>
    <w:rsid w:val="00F77291"/>
    <w:rsid w:val="00F81C93"/>
    <w:rsid w:val="00F82A59"/>
    <w:rsid w:val="00F82E58"/>
    <w:rsid w:val="00F83A83"/>
    <w:rsid w:val="00F84B0A"/>
    <w:rsid w:val="00F875CF"/>
    <w:rsid w:val="00F93405"/>
    <w:rsid w:val="00F9420A"/>
    <w:rsid w:val="00FA09D8"/>
    <w:rsid w:val="00FA2A68"/>
    <w:rsid w:val="00FA3003"/>
    <w:rsid w:val="00FA5901"/>
    <w:rsid w:val="00FA71C3"/>
    <w:rsid w:val="00FB09BD"/>
    <w:rsid w:val="00FB170A"/>
    <w:rsid w:val="00FC10BB"/>
    <w:rsid w:val="00FC3090"/>
    <w:rsid w:val="00FC569B"/>
    <w:rsid w:val="00FC65B3"/>
    <w:rsid w:val="00FC6AB0"/>
    <w:rsid w:val="00FC71FE"/>
    <w:rsid w:val="00FD05BB"/>
    <w:rsid w:val="00FD4404"/>
    <w:rsid w:val="00FD5AF9"/>
    <w:rsid w:val="00FE0C0F"/>
    <w:rsid w:val="00FE1C25"/>
    <w:rsid w:val="00FE26B9"/>
    <w:rsid w:val="00FE3395"/>
    <w:rsid w:val="00FE787A"/>
    <w:rsid w:val="00FE7B43"/>
    <w:rsid w:val="00FF5A14"/>
    <w:rsid w:val="00FF6329"/>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A9249"/>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D"/>
    <w:pPr>
      <w:spacing w:before="60" w:after="12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507D1D"/>
    <w:pPr>
      <w:keepNext/>
      <w:keepLines/>
      <w:numPr>
        <w:ilvl w:val="2"/>
        <w:numId w:val="4"/>
      </w:numPr>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C531BF"/>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esor.gouv.qc.ca/ressources-informationnelles/architecture-dentreprise-gouvernementale/standards-et-normes/accessibilite-du-we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cations.msss.gouv.qc.ca/msss/document-0011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han.org/wp-content/uploads/2017/02/MA9moire-COPHAN-Cadre-de-rA9fA9rence-gouvernemental-participation-publiqu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ris-recherche.qc.ca/publications/acceshandica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yperlink" Target="https://www.mtess.gouv.qc.ca/sacais/action-communautaire/politique-reconnaissance-soutien.asp" TargetMode="External"/><Relationship Id="rId22" Type="http://schemas.openxmlformats.org/officeDocument/2006/relationships/theme" Target="theme/theme1.xm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7812-268E-45D5-B56E-86675E0F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5084</Words>
  <Characters>27967</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7</cp:revision>
  <cp:lastPrinted>2017-06-21T16:15:00Z</cp:lastPrinted>
  <dcterms:created xsi:type="dcterms:W3CDTF">2019-12-06T20:26:00Z</dcterms:created>
  <dcterms:modified xsi:type="dcterms:W3CDTF">2019-12-06T23:40:00Z</dcterms:modified>
</cp:coreProperties>
</file>