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836DD" w14:textId="77777777" w:rsidR="004E4D7F" w:rsidRPr="00507D1D" w:rsidRDefault="0079218E" w:rsidP="00507D1D">
      <w:r w:rsidRPr="00507D1D">
        <w:rPr>
          <w:noProof/>
          <w:lang w:eastAsia="fr-FR"/>
        </w:rPr>
        <w:drawing>
          <wp:anchor distT="0" distB="0" distL="114300" distR="114300" simplePos="0" relativeHeight="251658240" behindDoc="0" locked="0" layoutInCell="1" allowOverlap="1" wp14:anchorId="4C9C475D" wp14:editId="226A9A8C">
            <wp:simplePos x="0" y="0"/>
            <wp:positionH relativeFrom="margin">
              <wp:align>right</wp:align>
            </wp:positionH>
            <wp:positionV relativeFrom="paragraph">
              <wp:posOffset>221</wp:posOffset>
            </wp:positionV>
            <wp:extent cx="5943600" cy="1103630"/>
            <wp:effectExtent l="0" t="0" r="0" b="1270"/>
            <wp:wrapTopAndBottom/>
            <wp:docPr id="1" name="Picture 1" title="Logo de Déphy Montréal, le regroupement des organismes en déficience physique de l'île de Montré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1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03630"/>
                    </a:xfrm>
                    <a:prstGeom prst="rect">
                      <a:avLst/>
                    </a:prstGeom>
                  </pic:spPr>
                </pic:pic>
              </a:graphicData>
            </a:graphic>
          </wp:anchor>
        </w:drawing>
      </w:r>
    </w:p>
    <w:p w14:paraId="2E2D8D36" w14:textId="77777777" w:rsidR="00DB297E" w:rsidRPr="00B159EA" w:rsidRDefault="00D4630A" w:rsidP="00B159EA">
      <w:pPr>
        <w:pStyle w:val="Title"/>
      </w:pPr>
      <w:r w:rsidRPr="00B159EA">
        <w:t>Mémoire</w:t>
      </w:r>
    </w:p>
    <w:p w14:paraId="248F0AB0" w14:textId="77777777" w:rsidR="00885839" w:rsidRPr="002B27E0" w:rsidRDefault="00D4630A" w:rsidP="00EF7C09">
      <w:pPr>
        <w:pStyle w:val="Subtitle"/>
        <w:rPr>
          <w:sz w:val="26"/>
        </w:rPr>
      </w:pPr>
      <w:r w:rsidRPr="002B27E0">
        <w:rPr>
          <w:sz w:val="26"/>
        </w:rPr>
        <w:t xml:space="preserve">Présenté </w:t>
      </w:r>
      <w:r w:rsidR="00D465DC">
        <w:rPr>
          <w:sz w:val="26"/>
        </w:rPr>
        <w:t xml:space="preserve">à la </w:t>
      </w:r>
      <w:r w:rsidR="00D465DC" w:rsidRPr="00D465DC">
        <w:rPr>
          <w:sz w:val="26"/>
        </w:rPr>
        <w:t>Commission sur l’eau, l’environnement, le développement durable et les grands parcs</w:t>
      </w:r>
      <w:r w:rsidR="002B27E0" w:rsidRPr="002B27E0">
        <w:rPr>
          <w:sz w:val="26"/>
        </w:rPr>
        <w:br/>
        <w:t>D</w:t>
      </w:r>
      <w:r w:rsidR="00EF7C09" w:rsidRPr="002B27E0">
        <w:rPr>
          <w:sz w:val="26"/>
        </w:rPr>
        <w:t>ans le ca</w:t>
      </w:r>
      <w:r w:rsidR="004C7257" w:rsidRPr="002B27E0">
        <w:rPr>
          <w:sz w:val="26"/>
        </w:rPr>
        <w:t>dre de la consultation</w:t>
      </w:r>
      <w:r w:rsidR="00A229CE">
        <w:rPr>
          <w:sz w:val="26"/>
        </w:rPr>
        <w:t xml:space="preserve"> publique</w:t>
      </w:r>
      <w:r w:rsidR="004C7257" w:rsidRPr="002B27E0">
        <w:rPr>
          <w:sz w:val="26"/>
        </w:rPr>
        <w:t xml:space="preserve"> </w:t>
      </w:r>
      <w:r w:rsidR="00431A35">
        <w:rPr>
          <w:sz w:val="26"/>
        </w:rPr>
        <w:t>« </w:t>
      </w:r>
      <w:r w:rsidR="00431A35" w:rsidRPr="00431A35">
        <w:rPr>
          <w:sz w:val="26"/>
        </w:rPr>
        <w:t>Montréal, objectif zéro déchet</w:t>
      </w:r>
      <w:r w:rsidR="00431A35">
        <w:rPr>
          <w:sz w:val="26"/>
        </w:rPr>
        <w:t> </w:t>
      </w:r>
      <w:r w:rsidR="00431A35" w:rsidRPr="00431A35">
        <w:rPr>
          <w:sz w:val="26"/>
        </w:rPr>
        <w:t>: projet de Plan directeur de gestion des matières résiduelles 2020-2025</w:t>
      </w:r>
      <w:r w:rsidR="00431A35">
        <w:rPr>
          <w:sz w:val="26"/>
        </w:rPr>
        <w:t> »</w:t>
      </w:r>
    </w:p>
    <w:p w14:paraId="1E99D303" w14:textId="77777777" w:rsidR="00885839" w:rsidRDefault="00431A35" w:rsidP="00507D1D">
      <w:pPr>
        <w:pStyle w:val="address"/>
      </w:pPr>
      <w:r>
        <w:t>20</w:t>
      </w:r>
      <w:r w:rsidR="006830A4">
        <w:t xml:space="preserve"> </w:t>
      </w:r>
      <w:r w:rsidR="002A321E">
        <w:t xml:space="preserve">janvier </w:t>
      </w:r>
      <w:r w:rsidR="006830A4">
        <w:t>20</w:t>
      </w:r>
      <w:r w:rsidR="002A321E">
        <w:t>20</w:t>
      </w:r>
    </w:p>
    <w:p w14:paraId="0E40E219" w14:textId="77777777" w:rsidR="00431A35" w:rsidRPr="00507D1D" w:rsidRDefault="00431A35" w:rsidP="00507D1D">
      <w:pPr>
        <w:pStyle w:val="address"/>
      </w:pPr>
    </w:p>
    <w:p w14:paraId="6A2EA1E9" w14:textId="77777777" w:rsidR="004E4D7F" w:rsidRPr="00507D1D" w:rsidRDefault="001F05EF" w:rsidP="00507D1D">
      <w:pPr>
        <w:pStyle w:val="address"/>
      </w:pPr>
      <w:r w:rsidRPr="00507D1D">
        <w:rPr>
          <w:b/>
        </w:rPr>
        <w:t>DéPhy Montréal</w:t>
      </w:r>
      <w:r w:rsidR="008E57EA" w:rsidRPr="00507D1D">
        <w:rPr>
          <w:b/>
        </w:rPr>
        <w:t xml:space="preserve"> </w:t>
      </w:r>
      <w:r w:rsidR="00CC14B9" w:rsidRPr="00507D1D">
        <w:rPr>
          <w:b/>
        </w:rPr>
        <w:br/>
      </w:r>
      <w:r w:rsidR="001878D9" w:rsidRPr="00507D1D">
        <w:t>312</w:t>
      </w:r>
      <w:r w:rsidRPr="00507D1D">
        <w:t>-</w:t>
      </w:r>
      <w:r w:rsidR="001878D9" w:rsidRPr="00507D1D">
        <w:t>7000</w:t>
      </w:r>
      <w:r w:rsidRPr="00507D1D">
        <w:t xml:space="preserve">, </w:t>
      </w:r>
      <w:r w:rsidR="001878D9" w:rsidRPr="00507D1D">
        <w:t>avenue du Parc</w:t>
      </w:r>
      <w:r w:rsidR="008E57EA" w:rsidRPr="00507D1D">
        <w:t xml:space="preserve"> </w:t>
      </w:r>
      <w:r w:rsidR="00CC14B9" w:rsidRPr="00507D1D">
        <w:br/>
      </w:r>
      <w:r w:rsidRPr="00507D1D">
        <w:t>Montréal (Québec) H</w:t>
      </w:r>
      <w:r w:rsidR="001878D9" w:rsidRPr="00507D1D">
        <w:t>3N</w:t>
      </w:r>
      <w:r w:rsidRPr="00507D1D">
        <w:t xml:space="preserve"> </w:t>
      </w:r>
      <w:r w:rsidR="001878D9" w:rsidRPr="00507D1D">
        <w:t>1X1</w:t>
      </w:r>
      <w:r w:rsidR="008E57EA" w:rsidRPr="00507D1D">
        <w:t xml:space="preserve"> </w:t>
      </w:r>
      <w:r w:rsidR="00CC14B9" w:rsidRPr="00507D1D">
        <w:br/>
      </w:r>
      <w:r w:rsidRPr="00507D1D">
        <w:t>Tél.</w:t>
      </w:r>
      <w:r w:rsidR="00DB297E" w:rsidRPr="00507D1D">
        <w:t> :</w:t>
      </w:r>
      <w:r w:rsidRPr="00507D1D">
        <w:t xml:space="preserve"> 514-255-4888</w:t>
      </w:r>
      <w:r w:rsidR="008E57EA" w:rsidRPr="00507D1D">
        <w:t xml:space="preserve"> </w:t>
      </w:r>
      <w:r w:rsidR="00CC14B9" w:rsidRPr="00507D1D">
        <w:br/>
      </w:r>
      <w:hyperlink r:id="rId9" w:history="1">
        <w:r w:rsidR="00292DE4" w:rsidRPr="00507D1D">
          <w:rPr>
            <w:rStyle w:val="Hyperlink"/>
          </w:rPr>
          <w:t>info@dephy-mtl.org</w:t>
        </w:r>
      </w:hyperlink>
      <w:r w:rsidR="00292DE4" w:rsidRPr="00507D1D">
        <w:t xml:space="preserve"> </w:t>
      </w:r>
    </w:p>
    <w:p w14:paraId="1A0656C4" w14:textId="77777777" w:rsidR="004E4D7F" w:rsidRPr="00507D1D" w:rsidRDefault="004E4D7F" w:rsidP="00507D1D">
      <w:pPr>
        <w:pStyle w:val="address"/>
      </w:pPr>
    </w:p>
    <w:p w14:paraId="003B5EFF" w14:textId="327B2E58" w:rsidR="007F28D2" w:rsidRDefault="00643FC5" w:rsidP="00507D1D">
      <w:bookmarkStart w:id="0" w:name="_Toc485810406"/>
      <w:bookmarkStart w:id="1" w:name="_Toc515953941"/>
      <w:bookmarkStart w:id="2" w:name="_Toc516063389"/>
      <w:bookmarkStart w:id="3" w:name="_Toc526073454"/>
      <w:bookmarkStart w:id="4" w:name="_Toc530234296"/>
      <w:r w:rsidRPr="00507D1D">
        <w:lastRenderedPageBreak/>
        <w:br/>
      </w:r>
      <w:r w:rsidR="007F28D2" w:rsidRPr="00507D1D">
        <w:t>Rédaction :</w:t>
      </w:r>
      <w:r w:rsidR="00694836">
        <w:t xml:space="preserve"> </w:t>
      </w:r>
    </w:p>
    <w:p w14:paraId="00B7FC30" w14:textId="77777777" w:rsidR="008420EF" w:rsidRPr="00507D1D" w:rsidRDefault="008420EF" w:rsidP="007D7E7B">
      <w:pPr>
        <w:numPr>
          <w:ilvl w:val="0"/>
          <w:numId w:val="6"/>
        </w:numPr>
      </w:pPr>
      <w:r>
        <w:t>Anne Pelletier, directrice générale</w:t>
      </w:r>
      <w:r>
        <w:br/>
        <w:t>DéPhy Montréal</w:t>
      </w:r>
    </w:p>
    <w:p w14:paraId="2D525C9C" w14:textId="77777777" w:rsidR="001B0862" w:rsidRDefault="001B0862" w:rsidP="00507D1D">
      <w:r>
        <w:t xml:space="preserve">Révision linguistique : </w:t>
      </w:r>
    </w:p>
    <w:p w14:paraId="4BB7A41A" w14:textId="77777777" w:rsidR="001B0862" w:rsidRDefault="001B0862" w:rsidP="007D7E7B">
      <w:pPr>
        <w:numPr>
          <w:ilvl w:val="0"/>
          <w:numId w:val="7"/>
        </w:numPr>
      </w:pPr>
      <w:r>
        <w:t>Marie-Cécile Bertard, agente de communications</w:t>
      </w:r>
      <w:r>
        <w:br/>
        <w:t>DéPhy Montréal</w:t>
      </w:r>
    </w:p>
    <w:p w14:paraId="5F1F46EB" w14:textId="77777777" w:rsidR="003857C1" w:rsidRDefault="003857C1" w:rsidP="00507D1D"/>
    <w:p w14:paraId="4DF09E88" w14:textId="77777777" w:rsidR="007F28D2" w:rsidRDefault="003857C1" w:rsidP="00507D1D">
      <w:r>
        <w:t xml:space="preserve">Avec la collaboration de : </w:t>
      </w:r>
    </w:p>
    <w:p w14:paraId="22FE963C" w14:textId="77777777" w:rsidR="00A14C58" w:rsidRDefault="00A14C58" w:rsidP="00F56D85">
      <w:pPr>
        <w:numPr>
          <w:ilvl w:val="0"/>
          <w:numId w:val="9"/>
        </w:numPr>
      </w:pPr>
      <w:r>
        <w:t xml:space="preserve">Félix Delage-Laurin, agent de développement et de communication </w:t>
      </w:r>
      <w:r>
        <w:br/>
        <w:t>Association multiethnique pour l’intégration des personnes handicapées</w:t>
      </w:r>
    </w:p>
    <w:p w14:paraId="1BD63292" w14:textId="77777777" w:rsidR="00A14C58" w:rsidRDefault="00A14C58" w:rsidP="003857C1">
      <w:pPr>
        <w:numPr>
          <w:ilvl w:val="0"/>
          <w:numId w:val="9"/>
        </w:numPr>
      </w:pPr>
      <w:r>
        <w:t xml:space="preserve">Mélanie Beauregard, agente de défense des droits </w:t>
      </w:r>
      <w:r>
        <w:br/>
        <w:t>Ex aequo</w:t>
      </w:r>
    </w:p>
    <w:p w14:paraId="035EDC6A" w14:textId="77777777" w:rsidR="00A14C58" w:rsidRDefault="00A14C58" w:rsidP="00A14C58">
      <w:pPr>
        <w:numPr>
          <w:ilvl w:val="0"/>
          <w:numId w:val="9"/>
        </w:numPr>
      </w:pPr>
      <w:r>
        <w:t>Nathalie Labelle, c</w:t>
      </w:r>
      <w:r w:rsidRPr="00A14C58">
        <w:t>onseillère en inclusion sociale et en défense des droits</w:t>
      </w:r>
      <w:r>
        <w:t xml:space="preserve"> </w:t>
      </w:r>
      <w:r>
        <w:br/>
        <w:t>Association québécoise des personnes de petite taille</w:t>
      </w:r>
    </w:p>
    <w:p w14:paraId="693A8C06" w14:textId="77777777" w:rsidR="00A14C58" w:rsidRDefault="00A14C58" w:rsidP="003857C1">
      <w:pPr>
        <w:numPr>
          <w:ilvl w:val="0"/>
          <w:numId w:val="9"/>
        </w:numPr>
      </w:pPr>
      <w:r>
        <w:t xml:space="preserve">Raphaël Massé, coordonnateur </w:t>
      </w:r>
      <w:r>
        <w:br/>
        <w:t>Table de concertation des aînés de l’île de Montréal</w:t>
      </w:r>
    </w:p>
    <w:p w14:paraId="061AA0E5" w14:textId="77777777" w:rsidR="00A14C58" w:rsidRDefault="00A14C58" w:rsidP="00F56D85">
      <w:pPr>
        <w:numPr>
          <w:ilvl w:val="0"/>
          <w:numId w:val="9"/>
        </w:numPr>
      </w:pPr>
      <w:r>
        <w:t xml:space="preserve">Sophie Lanctôt, directrice générale </w:t>
      </w:r>
      <w:r>
        <w:br/>
        <w:t>Société Logique</w:t>
      </w:r>
    </w:p>
    <w:p w14:paraId="469B1515" w14:textId="77777777" w:rsidR="00A14C58" w:rsidRDefault="00A14C58" w:rsidP="00F56D85">
      <w:pPr>
        <w:numPr>
          <w:ilvl w:val="0"/>
          <w:numId w:val="9"/>
        </w:numPr>
      </w:pPr>
      <w:r>
        <w:t xml:space="preserve">Valérie Huot, directrice adjointe </w:t>
      </w:r>
      <w:r>
        <w:br/>
        <w:t>Regroupement des usagers du transport adapté et accessible de l’île de Montréal</w:t>
      </w:r>
    </w:p>
    <w:p w14:paraId="4684A0B1" w14:textId="77777777" w:rsidR="00A14C58" w:rsidRDefault="00A14C58" w:rsidP="00F56D85">
      <w:pPr>
        <w:numPr>
          <w:ilvl w:val="0"/>
          <w:numId w:val="9"/>
        </w:numPr>
      </w:pPr>
      <w:r>
        <w:t xml:space="preserve">Yvon Provencher, agent de développement et de communication </w:t>
      </w:r>
      <w:r>
        <w:br/>
        <w:t>Regroupement des aveugles et amblyopes du Montréal métropolitain</w:t>
      </w:r>
    </w:p>
    <w:p w14:paraId="69158CE0" w14:textId="77777777" w:rsidR="00FE742B" w:rsidRPr="00507D1D" w:rsidRDefault="00FE742B" w:rsidP="00FE742B"/>
    <w:p w14:paraId="7ACA60C3" w14:textId="77777777" w:rsidR="007F28D2" w:rsidRPr="00507D1D" w:rsidRDefault="007F28D2" w:rsidP="00507D1D">
      <w:pPr>
        <w:rPr>
          <w:rFonts w:eastAsiaTheme="majorEastAsia" w:cstheme="majorBidi"/>
          <w:color w:val="404040" w:themeColor="text1" w:themeTint="BF"/>
          <w:sz w:val="36"/>
          <w:szCs w:val="36"/>
        </w:rPr>
      </w:pPr>
      <w:r w:rsidRPr="00507D1D">
        <w:br w:type="page"/>
      </w:r>
    </w:p>
    <w:p w14:paraId="40EF0E8D" w14:textId="77777777" w:rsidR="00DB297E" w:rsidRPr="00507D1D" w:rsidRDefault="007129FB" w:rsidP="00507D1D">
      <w:pPr>
        <w:pStyle w:val="Heading1"/>
        <w:numPr>
          <w:ilvl w:val="0"/>
          <w:numId w:val="0"/>
        </w:numPr>
      </w:pPr>
      <w:bookmarkStart w:id="5" w:name="_Toc26387585"/>
      <w:bookmarkStart w:id="6" w:name="_Toc26388487"/>
      <w:bookmarkStart w:id="7" w:name="_Toc26497138"/>
      <w:bookmarkStart w:id="8" w:name="_Toc26537117"/>
      <w:bookmarkStart w:id="9" w:name="_Toc26543490"/>
      <w:bookmarkStart w:id="10" w:name="_Toc29812868"/>
      <w:bookmarkStart w:id="11" w:name="_Toc29826391"/>
      <w:bookmarkStart w:id="12" w:name="_Toc29848095"/>
      <w:bookmarkStart w:id="13" w:name="_Toc30381674"/>
      <w:bookmarkStart w:id="14" w:name="_Toc30434237"/>
      <w:bookmarkStart w:id="15" w:name="_Toc30437410"/>
      <w:r w:rsidRPr="00507D1D">
        <w:lastRenderedPageBreak/>
        <w:t>Table des matières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8E57EA" w:rsidRPr="00507D1D">
        <w:t xml:space="preserve"> </w:t>
      </w:r>
    </w:p>
    <w:p w14:paraId="284CFA64" w14:textId="77777777" w:rsidR="00D5259C" w:rsidRDefault="00DB297E" w:rsidP="00507D1D">
      <w:pPr>
        <w:rPr>
          <w:noProof/>
        </w:rPr>
      </w:pPr>
      <w:r w:rsidRPr="00507D1D">
        <w:t xml:space="preserve"> </w:t>
      </w:r>
      <w:r w:rsidR="00F84B0A" w:rsidRPr="00507D1D">
        <w:fldChar w:fldCharType="begin"/>
      </w:r>
      <w:r w:rsidR="00F84B0A" w:rsidRPr="00507D1D">
        <w:instrText xml:space="preserve"> TOC \o "1-2" \h \z \u </w:instrText>
      </w:r>
      <w:r w:rsidR="00F84B0A" w:rsidRPr="00507D1D">
        <w:fldChar w:fldCharType="separate"/>
      </w:r>
    </w:p>
    <w:p w14:paraId="0F78AA89" w14:textId="776DB898" w:rsidR="00D5259C" w:rsidRDefault="00D5259C">
      <w:pPr>
        <w:pStyle w:val="TOC1"/>
        <w:tabs>
          <w:tab w:val="right" w:leader="dot" w:pos="9350"/>
        </w:tabs>
        <w:rPr>
          <w:rFonts w:asciiTheme="minorHAnsi" w:hAnsiTheme="minorHAnsi"/>
          <w:noProof/>
          <w:sz w:val="22"/>
          <w:lang w:eastAsia="fr-FR"/>
        </w:rPr>
      </w:pPr>
      <w:hyperlink w:anchor="_Toc30437411" w:history="1">
        <w:r w:rsidRPr="00107F48">
          <w:rPr>
            <w:rStyle w:val="Hyperlink"/>
            <w:noProof/>
          </w:rPr>
          <w:t>À propos de DéPhy Montréal</w:t>
        </w:r>
        <w:r>
          <w:rPr>
            <w:noProof/>
            <w:webHidden/>
          </w:rPr>
          <w:tab/>
        </w:r>
        <w:r>
          <w:rPr>
            <w:noProof/>
            <w:webHidden/>
          </w:rPr>
          <w:fldChar w:fldCharType="begin"/>
        </w:r>
        <w:r>
          <w:rPr>
            <w:noProof/>
            <w:webHidden/>
          </w:rPr>
          <w:instrText xml:space="preserve"> PAGEREF _Toc30437411 \h </w:instrText>
        </w:r>
        <w:r>
          <w:rPr>
            <w:noProof/>
            <w:webHidden/>
          </w:rPr>
        </w:r>
        <w:r>
          <w:rPr>
            <w:noProof/>
            <w:webHidden/>
          </w:rPr>
          <w:fldChar w:fldCharType="separate"/>
        </w:r>
        <w:r>
          <w:rPr>
            <w:noProof/>
            <w:webHidden/>
          </w:rPr>
          <w:t>4</w:t>
        </w:r>
        <w:r>
          <w:rPr>
            <w:noProof/>
            <w:webHidden/>
          </w:rPr>
          <w:fldChar w:fldCharType="end"/>
        </w:r>
      </w:hyperlink>
    </w:p>
    <w:p w14:paraId="2333111A" w14:textId="2FA4B34D" w:rsidR="00D5259C" w:rsidRDefault="00D5259C">
      <w:pPr>
        <w:pStyle w:val="TOC1"/>
        <w:tabs>
          <w:tab w:val="right" w:leader="dot" w:pos="9350"/>
        </w:tabs>
        <w:rPr>
          <w:rFonts w:asciiTheme="minorHAnsi" w:hAnsiTheme="minorHAnsi"/>
          <w:noProof/>
          <w:sz w:val="22"/>
          <w:lang w:eastAsia="fr-FR"/>
        </w:rPr>
      </w:pPr>
      <w:hyperlink w:anchor="_Toc30437412" w:history="1">
        <w:r w:rsidRPr="00107F48">
          <w:rPr>
            <w:rStyle w:val="Hyperlink"/>
            <w:noProof/>
          </w:rPr>
          <w:t>Introduction</w:t>
        </w:r>
        <w:r>
          <w:rPr>
            <w:noProof/>
            <w:webHidden/>
          </w:rPr>
          <w:tab/>
        </w:r>
        <w:r>
          <w:rPr>
            <w:noProof/>
            <w:webHidden/>
          </w:rPr>
          <w:fldChar w:fldCharType="begin"/>
        </w:r>
        <w:r>
          <w:rPr>
            <w:noProof/>
            <w:webHidden/>
          </w:rPr>
          <w:instrText xml:space="preserve"> PAGEREF _Toc30437412 \h </w:instrText>
        </w:r>
        <w:r>
          <w:rPr>
            <w:noProof/>
            <w:webHidden/>
          </w:rPr>
        </w:r>
        <w:r>
          <w:rPr>
            <w:noProof/>
            <w:webHidden/>
          </w:rPr>
          <w:fldChar w:fldCharType="separate"/>
        </w:r>
        <w:r>
          <w:rPr>
            <w:noProof/>
            <w:webHidden/>
          </w:rPr>
          <w:t>5</w:t>
        </w:r>
        <w:r>
          <w:rPr>
            <w:noProof/>
            <w:webHidden/>
          </w:rPr>
          <w:fldChar w:fldCharType="end"/>
        </w:r>
      </w:hyperlink>
    </w:p>
    <w:p w14:paraId="7923E949" w14:textId="393519E9" w:rsidR="00D5259C" w:rsidRDefault="00D5259C">
      <w:pPr>
        <w:pStyle w:val="TOC1"/>
        <w:tabs>
          <w:tab w:val="left" w:pos="440"/>
          <w:tab w:val="right" w:leader="dot" w:pos="9350"/>
        </w:tabs>
        <w:rPr>
          <w:rFonts w:asciiTheme="minorHAnsi" w:hAnsiTheme="minorHAnsi"/>
          <w:noProof/>
          <w:sz w:val="22"/>
          <w:lang w:eastAsia="fr-FR"/>
        </w:rPr>
      </w:pPr>
      <w:hyperlink w:anchor="_Toc30437413" w:history="1">
        <w:r w:rsidRPr="00107F48">
          <w:rPr>
            <w:rStyle w:val="Hyperlink"/>
            <w:noProof/>
          </w:rPr>
          <w:t>1</w:t>
        </w:r>
        <w:r>
          <w:rPr>
            <w:rFonts w:asciiTheme="minorHAnsi" w:hAnsiTheme="minorHAnsi"/>
            <w:noProof/>
            <w:sz w:val="22"/>
            <w:lang w:eastAsia="fr-FR"/>
          </w:rPr>
          <w:tab/>
        </w:r>
        <w:r w:rsidRPr="00107F48">
          <w:rPr>
            <w:rStyle w:val="Hyperlink"/>
            <w:noProof/>
          </w:rPr>
          <w:t>Bref portrait populationnel</w:t>
        </w:r>
        <w:r>
          <w:rPr>
            <w:noProof/>
            <w:webHidden/>
          </w:rPr>
          <w:tab/>
        </w:r>
        <w:r>
          <w:rPr>
            <w:noProof/>
            <w:webHidden/>
          </w:rPr>
          <w:fldChar w:fldCharType="begin"/>
        </w:r>
        <w:r>
          <w:rPr>
            <w:noProof/>
            <w:webHidden/>
          </w:rPr>
          <w:instrText xml:space="preserve"> PAGEREF _Toc30437413 \h </w:instrText>
        </w:r>
        <w:r>
          <w:rPr>
            <w:noProof/>
            <w:webHidden/>
          </w:rPr>
        </w:r>
        <w:r>
          <w:rPr>
            <w:noProof/>
            <w:webHidden/>
          </w:rPr>
          <w:fldChar w:fldCharType="separate"/>
        </w:r>
        <w:r>
          <w:rPr>
            <w:noProof/>
            <w:webHidden/>
          </w:rPr>
          <w:t>6</w:t>
        </w:r>
        <w:r>
          <w:rPr>
            <w:noProof/>
            <w:webHidden/>
          </w:rPr>
          <w:fldChar w:fldCharType="end"/>
        </w:r>
      </w:hyperlink>
    </w:p>
    <w:p w14:paraId="71B9835D" w14:textId="3E3685BD" w:rsidR="00D5259C" w:rsidRDefault="00D5259C">
      <w:pPr>
        <w:pStyle w:val="TOC1"/>
        <w:tabs>
          <w:tab w:val="left" w:pos="440"/>
          <w:tab w:val="right" w:leader="dot" w:pos="9350"/>
        </w:tabs>
        <w:rPr>
          <w:rFonts w:asciiTheme="minorHAnsi" w:hAnsiTheme="minorHAnsi"/>
          <w:noProof/>
          <w:sz w:val="22"/>
          <w:lang w:eastAsia="fr-FR"/>
        </w:rPr>
      </w:pPr>
      <w:hyperlink w:anchor="_Toc30437414" w:history="1">
        <w:r w:rsidRPr="00107F48">
          <w:rPr>
            <w:rStyle w:val="Hyperlink"/>
            <w:noProof/>
          </w:rPr>
          <w:t>2</w:t>
        </w:r>
        <w:r>
          <w:rPr>
            <w:rFonts w:asciiTheme="minorHAnsi" w:hAnsiTheme="minorHAnsi"/>
            <w:noProof/>
            <w:sz w:val="22"/>
            <w:lang w:eastAsia="fr-FR"/>
          </w:rPr>
          <w:tab/>
        </w:r>
        <w:r w:rsidRPr="00107F48">
          <w:rPr>
            <w:rStyle w:val="Hyperlink"/>
            <w:noProof/>
          </w:rPr>
          <w:t>Communications et accès à l’information</w:t>
        </w:r>
        <w:r>
          <w:rPr>
            <w:noProof/>
            <w:webHidden/>
          </w:rPr>
          <w:tab/>
        </w:r>
        <w:r>
          <w:rPr>
            <w:noProof/>
            <w:webHidden/>
          </w:rPr>
          <w:fldChar w:fldCharType="begin"/>
        </w:r>
        <w:r>
          <w:rPr>
            <w:noProof/>
            <w:webHidden/>
          </w:rPr>
          <w:instrText xml:space="preserve"> PAGEREF _Toc30437414 \h </w:instrText>
        </w:r>
        <w:r>
          <w:rPr>
            <w:noProof/>
            <w:webHidden/>
          </w:rPr>
        </w:r>
        <w:r>
          <w:rPr>
            <w:noProof/>
            <w:webHidden/>
          </w:rPr>
          <w:fldChar w:fldCharType="separate"/>
        </w:r>
        <w:r>
          <w:rPr>
            <w:noProof/>
            <w:webHidden/>
          </w:rPr>
          <w:t>8</w:t>
        </w:r>
        <w:r>
          <w:rPr>
            <w:noProof/>
            <w:webHidden/>
          </w:rPr>
          <w:fldChar w:fldCharType="end"/>
        </w:r>
      </w:hyperlink>
    </w:p>
    <w:p w14:paraId="74F16BB6" w14:textId="14DA0F5B" w:rsidR="00D5259C" w:rsidRDefault="00D5259C">
      <w:pPr>
        <w:pStyle w:val="TOC2"/>
        <w:tabs>
          <w:tab w:val="left" w:pos="880"/>
          <w:tab w:val="right" w:leader="dot" w:pos="9350"/>
        </w:tabs>
        <w:rPr>
          <w:rFonts w:asciiTheme="minorHAnsi" w:hAnsiTheme="minorHAnsi"/>
          <w:noProof/>
          <w:sz w:val="22"/>
          <w:lang w:eastAsia="fr-FR"/>
        </w:rPr>
      </w:pPr>
      <w:hyperlink w:anchor="_Toc30437415" w:history="1">
        <w:r w:rsidRPr="00107F48">
          <w:rPr>
            <w:rStyle w:val="Hyperlink"/>
            <w:noProof/>
          </w:rPr>
          <w:t>2.1</w:t>
        </w:r>
        <w:r>
          <w:rPr>
            <w:rFonts w:asciiTheme="minorHAnsi" w:hAnsiTheme="minorHAnsi"/>
            <w:noProof/>
            <w:sz w:val="22"/>
            <w:lang w:eastAsia="fr-FR"/>
          </w:rPr>
          <w:tab/>
        </w:r>
        <w:r w:rsidRPr="00107F48">
          <w:rPr>
            <w:rStyle w:val="Hyperlink"/>
            <w:noProof/>
          </w:rPr>
          <w:t>Accès à l’information</w:t>
        </w:r>
        <w:r>
          <w:rPr>
            <w:noProof/>
            <w:webHidden/>
          </w:rPr>
          <w:tab/>
        </w:r>
        <w:r>
          <w:rPr>
            <w:noProof/>
            <w:webHidden/>
          </w:rPr>
          <w:fldChar w:fldCharType="begin"/>
        </w:r>
        <w:r>
          <w:rPr>
            <w:noProof/>
            <w:webHidden/>
          </w:rPr>
          <w:instrText xml:space="preserve"> PAGEREF _Toc30437415 \h </w:instrText>
        </w:r>
        <w:r>
          <w:rPr>
            <w:noProof/>
            <w:webHidden/>
          </w:rPr>
        </w:r>
        <w:r>
          <w:rPr>
            <w:noProof/>
            <w:webHidden/>
          </w:rPr>
          <w:fldChar w:fldCharType="separate"/>
        </w:r>
        <w:r>
          <w:rPr>
            <w:noProof/>
            <w:webHidden/>
          </w:rPr>
          <w:t>9</w:t>
        </w:r>
        <w:r>
          <w:rPr>
            <w:noProof/>
            <w:webHidden/>
          </w:rPr>
          <w:fldChar w:fldCharType="end"/>
        </w:r>
      </w:hyperlink>
    </w:p>
    <w:p w14:paraId="6CBE18BB" w14:textId="43BA2C68" w:rsidR="00D5259C" w:rsidRDefault="00D5259C">
      <w:pPr>
        <w:pStyle w:val="TOC2"/>
        <w:tabs>
          <w:tab w:val="left" w:pos="880"/>
          <w:tab w:val="right" w:leader="dot" w:pos="9350"/>
        </w:tabs>
        <w:rPr>
          <w:rFonts w:asciiTheme="minorHAnsi" w:hAnsiTheme="minorHAnsi"/>
          <w:noProof/>
          <w:sz w:val="22"/>
          <w:lang w:eastAsia="fr-FR"/>
        </w:rPr>
      </w:pPr>
      <w:hyperlink w:anchor="_Toc30437416" w:history="1">
        <w:r w:rsidRPr="00107F48">
          <w:rPr>
            <w:rStyle w:val="Hyperlink"/>
            <w:noProof/>
          </w:rPr>
          <w:t>2.2</w:t>
        </w:r>
        <w:r>
          <w:rPr>
            <w:rFonts w:asciiTheme="minorHAnsi" w:hAnsiTheme="minorHAnsi"/>
            <w:noProof/>
            <w:sz w:val="22"/>
            <w:lang w:eastAsia="fr-FR"/>
          </w:rPr>
          <w:tab/>
        </w:r>
        <w:r w:rsidRPr="00107F48">
          <w:rPr>
            <w:rStyle w:val="Hyperlink"/>
            <w:noProof/>
          </w:rPr>
          <w:t>Signalisation</w:t>
        </w:r>
        <w:r>
          <w:rPr>
            <w:noProof/>
            <w:webHidden/>
          </w:rPr>
          <w:tab/>
        </w:r>
        <w:r>
          <w:rPr>
            <w:noProof/>
            <w:webHidden/>
          </w:rPr>
          <w:fldChar w:fldCharType="begin"/>
        </w:r>
        <w:r>
          <w:rPr>
            <w:noProof/>
            <w:webHidden/>
          </w:rPr>
          <w:instrText xml:space="preserve"> PAGEREF _Toc30437416 \h </w:instrText>
        </w:r>
        <w:r>
          <w:rPr>
            <w:noProof/>
            <w:webHidden/>
          </w:rPr>
        </w:r>
        <w:r>
          <w:rPr>
            <w:noProof/>
            <w:webHidden/>
          </w:rPr>
          <w:fldChar w:fldCharType="separate"/>
        </w:r>
        <w:r>
          <w:rPr>
            <w:noProof/>
            <w:webHidden/>
          </w:rPr>
          <w:t>11</w:t>
        </w:r>
        <w:r>
          <w:rPr>
            <w:noProof/>
            <w:webHidden/>
          </w:rPr>
          <w:fldChar w:fldCharType="end"/>
        </w:r>
      </w:hyperlink>
    </w:p>
    <w:p w14:paraId="53C7A243" w14:textId="21FF0499" w:rsidR="00D5259C" w:rsidRDefault="00D5259C">
      <w:pPr>
        <w:pStyle w:val="TOC2"/>
        <w:tabs>
          <w:tab w:val="left" w:pos="880"/>
          <w:tab w:val="right" w:leader="dot" w:pos="9350"/>
        </w:tabs>
        <w:rPr>
          <w:rFonts w:asciiTheme="minorHAnsi" w:hAnsiTheme="minorHAnsi"/>
          <w:noProof/>
          <w:sz w:val="22"/>
          <w:lang w:eastAsia="fr-FR"/>
        </w:rPr>
      </w:pPr>
      <w:hyperlink w:anchor="_Toc30437417" w:history="1">
        <w:r w:rsidRPr="00107F48">
          <w:rPr>
            <w:rStyle w:val="Hyperlink"/>
            <w:noProof/>
          </w:rPr>
          <w:t>2.3</w:t>
        </w:r>
        <w:r>
          <w:rPr>
            <w:rFonts w:asciiTheme="minorHAnsi" w:hAnsiTheme="minorHAnsi"/>
            <w:noProof/>
            <w:sz w:val="22"/>
            <w:lang w:eastAsia="fr-FR"/>
          </w:rPr>
          <w:tab/>
        </w:r>
        <w:r w:rsidRPr="00107F48">
          <w:rPr>
            <w:rStyle w:val="Hyperlink"/>
            <w:noProof/>
          </w:rPr>
          <w:t>Repérage</w:t>
        </w:r>
        <w:r>
          <w:rPr>
            <w:noProof/>
            <w:webHidden/>
          </w:rPr>
          <w:tab/>
        </w:r>
        <w:r>
          <w:rPr>
            <w:noProof/>
            <w:webHidden/>
          </w:rPr>
          <w:fldChar w:fldCharType="begin"/>
        </w:r>
        <w:r>
          <w:rPr>
            <w:noProof/>
            <w:webHidden/>
          </w:rPr>
          <w:instrText xml:space="preserve"> PAGEREF _Toc30437417 \h </w:instrText>
        </w:r>
        <w:r>
          <w:rPr>
            <w:noProof/>
            <w:webHidden/>
          </w:rPr>
        </w:r>
        <w:r>
          <w:rPr>
            <w:noProof/>
            <w:webHidden/>
          </w:rPr>
          <w:fldChar w:fldCharType="separate"/>
        </w:r>
        <w:r>
          <w:rPr>
            <w:noProof/>
            <w:webHidden/>
          </w:rPr>
          <w:t>12</w:t>
        </w:r>
        <w:r>
          <w:rPr>
            <w:noProof/>
            <w:webHidden/>
          </w:rPr>
          <w:fldChar w:fldCharType="end"/>
        </w:r>
      </w:hyperlink>
    </w:p>
    <w:p w14:paraId="2CA8C693" w14:textId="13DFF7DC" w:rsidR="00D5259C" w:rsidRDefault="00D5259C">
      <w:pPr>
        <w:pStyle w:val="TOC1"/>
        <w:tabs>
          <w:tab w:val="left" w:pos="440"/>
          <w:tab w:val="right" w:leader="dot" w:pos="9350"/>
        </w:tabs>
        <w:rPr>
          <w:rFonts w:asciiTheme="minorHAnsi" w:hAnsiTheme="minorHAnsi"/>
          <w:noProof/>
          <w:sz w:val="22"/>
          <w:lang w:eastAsia="fr-FR"/>
        </w:rPr>
      </w:pPr>
      <w:hyperlink w:anchor="_Toc30437418" w:history="1">
        <w:r w:rsidRPr="00107F48">
          <w:rPr>
            <w:rStyle w:val="Hyperlink"/>
            <w:noProof/>
          </w:rPr>
          <w:t>3</w:t>
        </w:r>
        <w:r>
          <w:rPr>
            <w:rFonts w:asciiTheme="minorHAnsi" w:hAnsiTheme="minorHAnsi"/>
            <w:noProof/>
            <w:sz w:val="22"/>
            <w:lang w:eastAsia="fr-FR"/>
          </w:rPr>
          <w:tab/>
        </w:r>
        <w:r w:rsidRPr="00107F48">
          <w:rPr>
            <w:rStyle w:val="Hyperlink"/>
            <w:noProof/>
          </w:rPr>
          <w:t>Design et aménagement urbain</w:t>
        </w:r>
        <w:r>
          <w:rPr>
            <w:noProof/>
            <w:webHidden/>
          </w:rPr>
          <w:tab/>
        </w:r>
        <w:r>
          <w:rPr>
            <w:noProof/>
            <w:webHidden/>
          </w:rPr>
          <w:fldChar w:fldCharType="begin"/>
        </w:r>
        <w:r>
          <w:rPr>
            <w:noProof/>
            <w:webHidden/>
          </w:rPr>
          <w:instrText xml:space="preserve"> PAGEREF _Toc30437418 \h </w:instrText>
        </w:r>
        <w:r>
          <w:rPr>
            <w:noProof/>
            <w:webHidden/>
          </w:rPr>
        </w:r>
        <w:r>
          <w:rPr>
            <w:noProof/>
            <w:webHidden/>
          </w:rPr>
          <w:fldChar w:fldCharType="separate"/>
        </w:r>
        <w:r>
          <w:rPr>
            <w:noProof/>
            <w:webHidden/>
          </w:rPr>
          <w:t>13</w:t>
        </w:r>
        <w:r>
          <w:rPr>
            <w:noProof/>
            <w:webHidden/>
          </w:rPr>
          <w:fldChar w:fldCharType="end"/>
        </w:r>
      </w:hyperlink>
    </w:p>
    <w:p w14:paraId="61D6ADE6" w14:textId="69C9D158" w:rsidR="00D5259C" w:rsidRDefault="00D5259C">
      <w:pPr>
        <w:pStyle w:val="TOC2"/>
        <w:tabs>
          <w:tab w:val="left" w:pos="880"/>
          <w:tab w:val="right" w:leader="dot" w:pos="9350"/>
        </w:tabs>
        <w:rPr>
          <w:rFonts w:asciiTheme="minorHAnsi" w:hAnsiTheme="minorHAnsi"/>
          <w:noProof/>
          <w:sz w:val="22"/>
          <w:lang w:eastAsia="fr-FR"/>
        </w:rPr>
      </w:pPr>
      <w:hyperlink w:anchor="_Toc30437419" w:history="1">
        <w:r w:rsidRPr="00107F48">
          <w:rPr>
            <w:rStyle w:val="Hyperlink"/>
            <w:noProof/>
          </w:rPr>
          <w:t>3.1</w:t>
        </w:r>
        <w:r>
          <w:rPr>
            <w:rFonts w:asciiTheme="minorHAnsi" w:hAnsiTheme="minorHAnsi"/>
            <w:noProof/>
            <w:sz w:val="22"/>
            <w:lang w:eastAsia="fr-FR"/>
          </w:rPr>
          <w:tab/>
        </w:r>
        <w:r w:rsidRPr="00107F48">
          <w:rPr>
            <w:rStyle w:val="Hyperlink"/>
            <w:noProof/>
          </w:rPr>
          <w:t>Conception des équipements</w:t>
        </w:r>
        <w:r>
          <w:rPr>
            <w:noProof/>
            <w:webHidden/>
          </w:rPr>
          <w:tab/>
        </w:r>
        <w:r>
          <w:rPr>
            <w:noProof/>
            <w:webHidden/>
          </w:rPr>
          <w:fldChar w:fldCharType="begin"/>
        </w:r>
        <w:r>
          <w:rPr>
            <w:noProof/>
            <w:webHidden/>
          </w:rPr>
          <w:instrText xml:space="preserve"> PAGEREF _Toc30437419 \h </w:instrText>
        </w:r>
        <w:r>
          <w:rPr>
            <w:noProof/>
            <w:webHidden/>
          </w:rPr>
        </w:r>
        <w:r>
          <w:rPr>
            <w:noProof/>
            <w:webHidden/>
          </w:rPr>
          <w:fldChar w:fldCharType="separate"/>
        </w:r>
        <w:r>
          <w:rPr>
            <w:noProof/>
            <w:webHidden/>
          </w:rPr>
          <w:t>13</w:t>
        </w:r>
        <w:r>
          <w:rPr>
            <w:noProof/>
            <w:webHidden/>
          </w:rPr>
          <w:fldChar w:fldCharType="end"/>
        </w:r>
      </w:hyperlink>
    </w:p>
    <w:p w14:paraId="03DA28C0" w14:textId="326877EE" w:rsidR="00D5259C" w:rsidRDefault="00D5259C">
      <w:pPr>
        <w:pStyle w:val="TOC2"/>
        <w:tabs>
          <w:tab w:val="left" w:pos="880"/>
          <w:tab w:val="right" w:leader="dot" w:pos="9350"/>
        </w:tabs>
        <w:rPr>
          <w:rFonts w:asciiTheme="minorHAnsi" w:hAnsiTheme="minorHAnsi"/>
          <w:noProof/>
          <w:sz w:val="22"/>
          <w:lang w:eastAsia="fr-FR"/>
        </w:rPr>
      </w:pPr>
      <w:hyperlink w:anchor="_Toc30437420" w:history="1">
        <w:r w:rsidRPr="00107F48">
          <w:rPr>
            <w:rStyle w:val="Hyperlink"/>
            <w:noProof/>
          </w:rPr>
          <w:t>3.2</w:t>
        </w:r>
        <w:r>
          <w:rPr>
            <w:rFonts w:asciiTheme="minorHAnsi" w:hAnsiTheme="minorHAnsi"/>
            <w:noProof/>
            <w:sz w:val="22"/>
            <w:lang w:eastAsia="fr-FR"/>
          </w:rPr>
          <w:tab/>
        </w:r>
        <w:r w:rsidRPr="00107F48">
          <w:rPr>
            <w:rStyle w:val="Hyperlink"/>
            <w:noProof/>
          </w:rPr>
          <w:t>Implantation extérieure</w:t>
        </w:r>
        <w:r>
          <w:rPr>
            <w:noProof/>
            <w:webHidden/>
          </w:rPr>
          <w:tab/>
        </w:r>
        <w:r>
          <w:rPr>
            <w:noProof/>
            <w:webHidden/>
          </w:rPr>
          <w:fldChar w:fldCharType="begin"/>
        </w:r>
        <w:r>
          <w:rPr>
            <w:noProof/>
            <w:webHidden/>
          </w:rPr>
          <w:instrText xml:space="preserve"> PAGEREF _Toc30437420 \h </w:instrText>
        </w:r>
        <w:r>
          <w:rPr>
            <w:noProof/>
            <w:webHidden/>
          </w:rPr>
        </w:r>
        <w:r>
          <w:rPr>
            <w:noProof/>
            <w:webHidden/>
          </w:rPr>
          <w:fldChar w:fldCharType="separate"/>
        </w:r>
        <w:r>
          <w:rPr>
            <w:noProof/>
            <w:webHidden/>
          </w:rPr>
          <w:t>14</w:t>
        </w:r>
        <w:r>
          <w:rPr>
            <w:noProof/>
            <w:webHidden/>
          </w:rPr>
          <w:fldChar w:fldCharType="end"/>
        </w:r>
      </w:hyperlink>
    </w:p>
    <w:p w14:paraId="6359F935" w14:textId="236E9F68" w:rsidR="00D5259C" w:rsidRDefault="00D5259C">
      <w:pPr>
        <w:pStyle w:val="TOC2"/>
        <w:tabs>
          <w:tab w:val="left" w:pos="880"/>
          <w:tab w:val="right" w:leader="dot" w:pos="9350"/>
        </w:tabs>
        <w:rPr>
          <w:rFonts w:asciiTheme="minorHAnsi" w:hAnsiTheme="minorHAnsi"/>
          <w:noProof/>
          <w:sz w:val="22"/>
          <w:lang w:eastAsia="fr-FR"/>
        </w:rPr>
      </w:pPr>
      <w:hyperlink w:anchor="_Toc30437421" w:history="1">
        <w:r w:rsidRPr="00107F48">
          <w:rPr>
            <w:rStyle w:val="Hyperlink"/>
            <w:noProof/>
          </w:rPr>
          <w:t>3.3</w:t>
        </w:r>
        <w:r>
          <w:rPr>
            <w:rFonts w:asciiTheme="minorHAnsi" w:hAnsiTheme="minorHAnsi"/>
            <w:noProof/>
            <w:sz w:val="22"/>
            <w:lang w:eastAsia="fr-FR"/>
          </w:rPr>
          <w:tab/>
        </w:r>
        <w:r w:rsidRPr="00107F48">
          <w:rPr>
            <w:rStyle w:val="Hyperlink"/>
            <w:noProof/>
          </w:rPr>
          <w:t>Installation intérieure</w:t>
        </w:r>
        <w:r>
          <w:rPr>
            <w:noProof/>
            <w:webHidden/>
          </w:rPr>
          <w:tab/>
        </w:r>
        <w:r>
          <w:rPr>
            <w:noProof/>
            <w:webHidden/>
          </w:rPr>
          <w:fldChar w:fldCharType="begin"/>
        </w:r>
        <w:r>
          <w:rPr>
            <w:noProof/>
            <w:webHidden/>
          </w:rPr>
          <w:instrText xml:space="preserve"> PAGEREF _Toc30437421 \h </w:instrText>
        </w:r>
        <w:r>
          <w:rPr>
            <w:noProof/>
            <w:webHidden/>
          </w:rPr>
        </w:r>
        <w:r>
          <w:rPr>
            <w:noProof/>
            <w:webHidden/>
          </w:rPr>
          <w:fldChar w:fldCharType="separate"/>
        </w:r>
        <w:r>
          <w:rPr>
            <w:noProof/>
            <w:webHidden/>
          </w:rPr>
          <w:t>16</w:t>
        </w:r>
        <w:r>
          <w:rPr>
            <w:noProof/>
            <w:webHidden/>
          </w:rPr>
          <w:fldChar w:fldCharType="end"/>
        </w:r>
      </w:hyperlink>
    </w:p>
    <w:p w14:paraId="0DBA4D95" w14:textId="437A113D" w:rsidR="00D5259C" w:rsidRDefault="00D5259C">
      <w:pPr>
        <w:pStyle w:val="TOC1"/>
        <w:tabs>
          <w:tab w:val="left" w:pos="440"/>
          <w:tab w:val="right" w:leader="dot" w:pos="9350"/>
        </w:tabs>
        <w:rPr>
          <w:rFonts w:asciiTheme="minorHAnsi" w:hAnsiTheme="minorHAnsi"/>
          <w:noProof/>
          <w:sz w:val="22"/>
          <w:lang w:eastAsia="fr-FR"/>
        </w:rPr>
      </w:pPr>
      <w:hyperlink w:anchor="_Toc30437422" w:history="1">
        <w:r w:rsidRPr="00107F48">
          <w:rPr>
            <w:rStyle w:val="Hyperlink"/>
            <w:noProof/>
          </w:rPr>
          <w:t>4</w:t>
        </w:r>
        <w:r>
          <w:rPr>
            <w:rFonts w:asciiTheme="minorHAnsi" w:hAnsiTheme="minorHAnsi"/>
            <w:noProof/>
            <w:sz w:val="22"/>
            <w:lang w:eastAsia="fr-FR"/>
          </w:rPr>
          <w:tab/>
        </w:r>
        <w:r w:rsidRPr="00107F48">
          <w:rPr>
            <w:rStyle w:val="Hyperlink"/>
            <w:noProof/>
          </w:rPr>
          <w:t>Programmes et services</w:t>
        </w:r>
        <w:r>
          <w:rPr>
            <w:noProof/>
            <w:webHidden/>
          </w:rPr>
          <w:tab/>
        </w:r>
        <w:r>
          <w:rPr>
            <w:noProof/>
            <w:webHidden/>
          </w:rPr>
          <w:fldChar w:fldCharType="begin"/>
        </w:r>
        <w:r>
          <w:rPr>
            <w:noProof/>
            <w:webHidden/>
          </w:rPr>
          <w:instrText xml:space="preserve"> PAGEREF _Toc30437422 \h </w:instrText>
        </w:r>
        <w:r>
          <w:rPr>
            <w:noProof/>
            <w:webHidden/>
          </w:rPr>
        </w:r>
        <w:r>
          <w:rPr>
            <w:noProof/>
            <w:webHidden/>
          </w:rPr>
          <w:fldChar w:fldCharType="separate"/>
        </w:r>
        <w:r>
          <w:rPr>
            <w:noProof/>
            <w:webHidden/>
          </w:rPr>
          <w:t>16</w:t>
        </w:r>
        <w:r>
          <w:rPr>
            <w:noProof/>
            <w:webHidden/>
          </w:rPr>
          <w:fldChar w:fldCharType="end"/>
        </w:r>
      </w:hyperlink>
    </w:p>
    <w:p w14:paraId="3F3F131D" w14:textId="5BB9EC9D" w:rsidR="00D5259C" w:rsidRDefault="00D5259C">
      <w:pPr>
        <w:pStyle w:val="TOC2"/>
        <w:tabs>
          <w:tab w:val="left" w:pos="880"/>
          <w:tab w:val="right" w:leader="dot" w:pos="9350"/>
        </w:tabs>
        <w:rPr>
          <w:rFonts w:asciiTheme="minorHAnsi" w:hAnsiTheme="minorHAnsi"/>
          <w:noProof/>
          <w:sz w:val="22"/>
          <w:lang w:eastAsia="fr-FR"/>
        </w:rPr>
      </w:pPr>
      <w:hyperlink w:anchor="_Toc30437423" w:history="1">
        <w:r w:rsidRPr="00107F48">
          <w:rPr>
            <w:rStyle w:val="Hyperlink"/>
            <w:noProof/>
          </w:rPr>
          <w:t>4.1</w:t>
        </w:r>
        <w:r>
          <w:rPr>
            <w:rFonts w:asciiTheme="minorHAnsi" w:hAnsiTheme="minorHAnsi"/>
            <w:noProof/>
            <w:sz w:val="22"/>
            <w:lang w:eastAsia="fr-FR"/>
          </w:rPr>
          <w:tab/>
        </w:r>
        <w:r w:rsidRPr="00107F48">
          <w:rPr>
            <w:rStyle w:val="Hyperlink"/>
            <w:noProof/>
          </w:rPr>
          <w:t>Participation citoyenne</w:t>
        </w:r>
        <w:r>
          <w:rPr>
            <w:noProof/>
            <w:webHidden/>
          </w:rPr>
          <w:tab/>
        </w:r>
        <w:r>
          <w:rPr>
            <w:noProof/>
            <w:webHidden/>
          </w:rPr>
          <w:fldChar w:fldCharType="begin"/>
        </w:r>
        <w:r>
          <w:rPr>
            <w:noProof/>
            <w:webHidden/>
          </w:rPr>
          <w:instrText xml:space="preserve"> PAGEREF _Toc30437423 \h </w:instrText>
        </w:r>
        <w:r>
          <w:rPr>
            <w:noProof/>
            <w:webHidden/>
          </w:rPr>
        </w:r>
        <w:r>
          <w:rPr>
            <w:noProof/>
            <w:webHidden/>
          </w:rPr>
          <w:fldChar w:fldCharType="separate"/>
        </w:r>
        <w:r>
          <w:rPr>
            <w:noProof/>
            <w:webHidden/>
          </w:rPr>
          <w:t>16</w:t>
        </w:r>
        <w:r>
          <w:rPr>
            <w:noProof/>
            <w:webHidden/>
          </w:rPr>
          <w:fldChar w:fldCharType="end"/>
        </w:r>
      </w:hyperlink>
    </w:p>
    <w:p w14:paraId="71CD0C09" w14:textId="195E2FD3" w:rsidR="00D5259C" w:rsidRDefault="00D5259C">
      <w:pPr>
        <w:pStyle w:val="TOC2"/>
        <w:tabs>
          <w:tab w:val="left" w:pos="880"/>
          <w:tab w:val="right" w:leader="dot" w:pos="9350"/>
        </w:tabs>
        <w:rPr>
          <w:rFonts w:asciiTheme="minorHAnsi" w:hAnsiTheme="minorHAnsi"/>
          <w:noProof/>
          <w:sz w:val="22"/>
          <w:lang w:eastAsia="fr-FR"/>
        </w:rPr>
      </w:pPr>
      <w:hyperlink w:anchor="_Toc30437424" w:history="1">
        <w:r w:rsidRPr="00107F48">
          <w:rPr>
            <w:rStyle w:val="Hyperlink"/>
            <w:noProof/>
          </w:rPr>
          <w:t>4.2</w:t>
        </w:r>
        <w:r>
          <w:rPr>
            <w:rFonts w:asciiTheme="minorHAnsi" w:hAnsiTheme="minorHAnsi"/>
            <w:noProof/>
            <w:sz w:val="22"/>
            <w:lang w:eastAsia="fr-FR"/>
          </w:rPr>
          <w:tab/>
        </w:r>
        <w:r w:rsidRPr="00107F48">
          <w:rPr>
            <w:rStyle w:val="Hyperlink"/>
            <w:noProof/>
          </w:rPr>
          <w:t>Modification de la réglementation</w:t>
        </w:r>
        <w:r>
          <w:rPr>
            <w:noProof/>
            <w:webHidden/>
          </w:rPr>
          <w:tab/>
        </w:r>
        <w:r>
          <w:rPr>
            <w:noProof/>
            <w:webHidden/>
          </w:rPr>
          <w:fldChar w:fldCharType="begin"/>
        </w:r>
        <w:r>
          <w:rPr>
            <w:noProof/>
            <w:webHidden/>
          </w:rPr>
          <w:instrText xml:space="preserve"> PAGEREF _Toc30437424 \h </w:instrText>
        </w:r>
        <w:r>
          <w:rPr>
            <w:noProof/>
            <w:webHidden/>
          </w:rPr>
        </w:r>
        <w:r>
          <w:rPr>
            <w:noProof/>
            <w:webHidden/>
          </w:rPr>
          <w:fldChar w:fldCharType="separate"/>
        </w:r>
        <w:r>
          <w:rPr>
            <w:noProof/>
            <w:webHidden/>
          </w:rPr>
          <w:t>17</w:t>
        </w:r>
        <w:r>
          <w:rPr>
            <w:noProof/>
            <w:webHidden/>
          </w:rPr>
          <w:fldChar w:fldCharType="end"/>
        </w:r>
      </w:hyperlink>
    </w:p>
    <w:p w14:paraId="6253A091" w14:textId="3119BD6E" w:rsidR="00D5259C" w:rsidRDefault="00D5259C">
      <w:pPr>
        <w:pStyle w:val="TOC2"/>
        <w:tabs>
          <w:tab w:val="left" w:pos="880"/>
          <w:tab w:val="right" w:leader="dot" w:pos="9350"/>
        </w:tabs>
        <w:rPr>
          <w:rFonts w:asciiTheme="minorHAnsi" w:hAnsiTheme="minorHAnsi"/>
          <w:noProof/>
          <w:sz w:val="22"/>
          <w:lang w:eastAsia="fr-FR"/>
        </w:rPr>
      </w:pPr>
      <w:hyperlink w:anchor="_Toc30437425" w:history="1">
        <w:r w:rsidRPr="00107F48">
          <w:rPr>
            <w:rStyle w:val="Hyperlink"/>
            <w:noProof/>
          </w:rPr>
          <w:t>4.3</w:t>
        </w:r>
        <w:r>
          <w:rPr>
            <w:rFonts w:asciiTheme="minorHAnsi" w:hAnsiTheme="minorHAnsi"/>
            <w:noProof/>
            <w:sz w:val="22"/>
            <w:lang w:eastAsia="fr-FR"/>
          </w:rPr>
          <w:tab/>
        </w:r>
        <w:r w:rsidRPr="00107F48">
          <w:rPr>
            <w:rStyle w:val="Hyperlink"/>
            <w:noProof/>
          </w:rPr>
          <w:t>Collecte et récupération des déchets</w:t>
        </w:r>
        <w:r>
          <w:rPr>
            <w:noProof/>
            <w:webHidden/>
          </w:rPr>
          <w:tab/>
        </w:r>
        <w:r>
          <w:rPr>
            <w:noProof/>
            <w:webHidden/>
          </w:rPr>
          <w:fldChar w:fldCharType="begin"/>
        </w:r>
        <w:r>
          <w:rPr>
            <w:noProof/>
            <w:webHidden/>
          </w:rPr>
          <w:instrText xml:space="preserve"> PAGEREF _Toc30437425 \h </w:instrText>
        </w:r>
        <w:r>
          <w:rPr>
            <w:noProof/>
            <w:webHidden/>
          </w:rPr>
        </w:r>
        <w:r>
          <w:rPr>
            <w:noProof/>
            <w:webHidden/>
          </w:rPr>
          <w:fldChar w:fldCharType="separate"/>
        </w:r>
        <w:r>
          <w:rPr>
            <w:noProof/>
            <w:webHidden/>
          </w:rPr>
          <w:t>20</w:t>
        </w:r>
        <w:r>
          <w:rPr>
            <w:noProof/>
            <w:webHidden/>
          </w:rPr>
          <w:fldChar w:fldCharType="end"/>
        </w:r>
      </w:hyperlink>
    </w:p>
    <w:p w14:paraId="3D43B8B6" w14:textId="0586141D" w:rsidR="00D5259C" w:rsidRDefault="00D5259C">
      <w:pPr>
        <w:pStyle w:val="TOC2"/>
        <w:tabs>
          <w:tab w:val="left" w:pos="880"/>
          <w:tab w:val="right" w:leader="dot" w:pos="9350"/>
        </w:tabs>
        <w:rPr>
          <w:rFonts w:asciiTheme="minorHAnsi" w:hAnsiTheme="minorHAnsi"/>
          <w:noProof/>
          <w:sz w:val="22"/>
          <w:lang w:eastAsia="fr-FR"/>
        </w:rPr>
      </w:pPr>
      <w:hyperlink w:anchor="_Toc30437426" w:history="1">
        <w:r w:rsidRPr="00107F48">
          <w:rPr>
            <w:rStyle w:val="Hyperlink"/>
            <w:noProof/>
          </w:rPr>
          <w:t>4.4</w:t>
        </w:r>
        <w:r>
          <w:rPr>
            <w:rFonts w:asciiTheme="minorHAnsi" w:hAnsiTheme="minorHAnsi"/>
            <w:noProof/>
            <w:sz w:val="22"/>
            <w:lang w:eastAsia="fr-FR"/>
          </w:rPr>
          <w:tab/>
        </w:r>
        <w:r w:rsidRPr="00107F48">
          <w:rPr>
            <w:rStyle w:val="Hyperlink"/>
            <w:noProof/>
          </w:rPr>
          <w:t>Écofiscalité</w:t>
        </w:r>
        <w:r>
          <w:rPr>
            <w:noProof/>
            <w:webHidden/>
          </w:rPr>
          <w:tab/>
        </w:r>
        <w:r>
          <w:rPr>
            <w:noProof/>
            <w:webHidden/>
          </w:rPr>
          <w:fldChar w:fldCharType="begin"/>
        </w:r>
        <w:r>
          <w:rPr>
            <w:noProof/>
            <w:webHidden/>
          </w:rPr>
          <w:instrText xml:space="preserve"> PAGEREF _Toc30437426 \h </w:instrText>
        </w:r>
        <w:r>
          <w:rPr>
            <w:noProof/>
            <w:webHidden/>
          </w:rPr>
        </w:r>
        <w:r>
          <w:rPr>
            <w:noProof/>
            <w:webHidden/>
          </w:rPr>
          <w:fldChar w:fldCharType="separate"/>
        </w:r>
        <w:r>
          <w:rPr>
            <w:noProof/>
            <w:webHidden/>
          </w:rPr>
          <w:t>23</w:t>
        </w:r>
        <w:r>
          <w:rPr>
            <w:noProof/>
            <w:webHidden/>
          </w:rPr>
          <w:fldChar w:fldCharType="end"/>
        </w:r>
      </w:hyperlink>
    </w:p>
    <w:p w14:paraId="6A11F661" w14:textId="300912F9" w:rsidR="00D5259C" w:rsidRDefault="00D5259C">
      <w:pPr>
        <w:pStyle w:val="TOC1"/>
        <w:tabs>
          <w:tab w:val="left" w:pos="440"/>
          <w:tab w:val="right" w:leader="dot" w:pos="9350"/>
        </w:tabs>
        <w:rPr>
          <w:rFonts w:asciiTheme="minorHAnsi" w:hAnsiTheme="minorHAnsi"/>
          <w:noProof/>
          <w:sz w:val="22"/>
          <w:lang w:eastAsia="fr-FR"/>
        </w:rPr>
      </w:pPr>
      <w:hyperlink w:anchor="_Toc30437427" w:history="1">
        <w:r w:rsidRPr="00107F48">
          <w:rPr>
            <w:rStyle w:val="Hyperlink"/>
            <w:noProof/>
          </w:rPr>
          <w:t>5</w:t>
        </w:r>
        <w:r>
          <w:rPr>
            <w:rFonts w:asciiTheme="minorHAnsi" w:hAnsiTheme="minorHAnsi"/>
            <w:noProof/>
            <w:sz w:val="22"/>
            <w:lang w:eastAsia="fr-FR"/>
          </w:rPr>
          <w:tab/>
        </w:r>
        <w:r w:rsidRPr="00107F48">
          <w:rPr>
            <w:rStyle w:val="Hyperlink"/>
            <w:noProof/>
          </w:rPr>
          <w:t>Sensibilisation et formation</w:t>
        </w:r>
        <w:r>
          <w:rPr>
            <w:noProof/>
            <w:webHidden/>
          </w:rPr>
          <w:tab/>
        </w:r>
        <w:r>
          <w:rPr>
            <w:noProof/>
            <w:webHidden/>
          </w:rPr>
          <w:fldChar w:fldCharType="begin"/>
        </w:r>
        <w:r>
          <w:rPr>
            <w:noProof/>
            <w:webHidden/>
          </w:rPr>
          <w:instrText xml:space="preserve"> PAGEREF _Toc30437427 \h </w:instrText>
        </w:r>
        <w:r>
          <w:rPr>
            <w:noProof/>
            <w:webHidden/>
          </w:rPr>
        </w:r>
        <w:r>
          <w:rPr>
            <w:noProof/>
            <w:webHidden/>
          </w:rPr>
          <w:fldChar w:fldCharType="separate"/>
        </w:r>
        <w:r>
          <w:rPr>
            <w:noProof/>
            <w:webHidden/>
          </w:rPr>
          <w:t>24</w:t>
        </w:r>
        <w:r>
          <w:rPr>
            <w:noProof/>
            <w:webHidden/>
          </w:rPr>
          <w:fldChar w:fldCharType="end"/>
        </w:r>
      </w:hyperlink>
    </w:p>
    <w:p w14:paraId="4E25E664" w14:textId="7F98D273" w:rsidR="00D5259C" w:rsidRDefault="00D5259C">
      <w:pPr>
        <w:pStyle w:val="TOC1"/>
        <w:tabs>
          <w:tab w:val="right" w:leader="dot" w:pos="9350"/>
        </w:tabs>
        <w:rPr>
          <w:rFonts w:asciiTheme="minorHAnsi" w:hAnsiTheme="minorHAnsi"/>
          <w:noProof/>
          <w:sz w:val="22"/>
          <w:lang w:eastAsia="fr-FR"/>
        </w:rPr>
      </w:pPr>
      <w:hyperlink w:anchor="_Toc30437428" w:history="1">
        <w:r w:rsidRPr="00107F48">
          <w:rPr>
            <w:rStyle w:val="Hyperlink"/>
            <w:noProof/>
          </w:rPr>
          <w:t>Conclusion</w:t>
        </w:r>
        <w:r>
          <w:rPr>
            <w:noProof/>
            <w:webHidden/>
          </w:rPr>
          <w:tab/>
        </w:r>
        <w:r>
          <w:rPr>
            <w:noProof/>
            <w:webHidden/>
          </w:rPr>
          <w:fldChar w:fldCharType="begin"/>
        </w:r>
        <w:r>
          <w:rPr>
            <w:noProof/>
            <w:webHidden/>
          </w:rPr>
          <w:instrText xml:space="preserve"> PAGEREF _Toc30437428 \h </w:instrText>
        </w:r>
        <w:r>
          <w:rPr>
            <w:noProof/>
            <w:webHidden/>
          </w:rPr>
        </w:r>
        <w:r>
          <w:rPr>
            <w:noProof/>
            <w:webHidden/>
          </w:rPr>
          <w:fldChar w:fldCharType="separate"/>
        </w:r>
        <w:r>
          <w:rPr>
            <w:noProof/>
            <w:webHidden/>
          </w:rPr>
          <w:t>25</w:t>
        </w:r>
        <w:r>
          <w:rPr>
            <w:noProof/>
            <w:webHidden/>
          </w:rPr>
          <w:fldChar w:fldCharType="end"/>
        </w:r>
      </w:hyperlink>
    </w:p>
    <w:p w14:paraId="1F046D89" w14:textId="0AE61AE1" w:rsidR="00D5259C" w:rsidRDefault="00D5259C">
      <w:pPr>
        <w:pStyle w:val="TOC1"/>
        <w:tabs>
          <w:tab w:val="right" w:leader="dot" w:pos="9350"/>
        </w:tabs>
        <w:rPr>
          <w:rFonts w:asciiTheme="minorHAnsi" w:hAnsiTheme="minorHAnsi"/>
          <w:noProof/>
          <w:sz w:val="22"/>
          <w:lang w:eastAsia="fr-FR"/>
        </w:rPr>
      </w:pPr>
      <w:hyperlink w:anchor="_Toc30437429" w:history="1">
        <w:r w:rsidRPr="00107F48">
          <w:rPr>
            <w:rStyle w:val="Hyperlink"/>
            <w:noProof/>
          </w:rPr>
          <w:t>Annexe : Liste des recommandations</w:t>
        </w:r>
        <w:r>
          <w:rPr>
            <w:noProof/>
            <w:webHidden/>
          </w:rPr>
          <w:tab/>
        </w:r>
        <w:r>
          <w:rPr>
            <w:noProof/>
            <w:webHidden/>
          </w:rPr>
          <w:fldChar w:fldCharType="begin"/>
        </w:r>
        <w:r>
          <w:rPr>
            <w:noProof/>
            <w:webHidden/>
          </w:rPr>
          <w:instrText xml:space="preserve"> PAGEREF _Toc30437429 \h </w:instrText>
        </w:r>
        <w:r>
          <w:rPr>
            <w:noProof/>
            <w:webHidden/>
          </w:rPr>
        </w:r>
        <w:r>
          <w:rPr>
            <w:noProof/>
            <w:webHidden/>
          </w:rPr>
          <w:fldChar w:fldCharType="separate"/>
        </w:r>
        <w:r>
          <w:rPr>
            <w:noProof/>
            <w:webHidden/>
          </w:rPr>
          <w:t>26</w:t>
        </w:r>
        <w:r>
          <w:rPr>
            <w:noProof/>
            <w:webHidden/>
          </w:rPr>
          <w:fldChar w:fldCharType="end"/>
        </w:r>
      </w:hyperlink>
    </w:p>
    <w:p w14:paraId="43DDF090" w14:textId="77777777" w:rsidR="00D03041" w:rsidRPr="00507D1D" w:rsidRDefault="00F84B0A" w:rsidP="00507D1D">
      <w:r w:rsidRPr="00507D1D">
        <w:fldChar w:fldCharType="end"/>
      </w:r>
    </w:p>
    <w:p w14:paraId="34629FA7" w14:textId="77777777" w:rsidR="008E57EA" w:rsidRPr="00507D1D" w:rsidRDefault="00D03041" w:rsidP="00507D1D">
      <w:r w:rsidRPr="00507D1D">
        <w:t xml:space="preserve"> </w:t>
      </w:r>
      <w:r w:rsidR="007129FB" w:rsidRPr="00507D1D">
        <w:br w:type="page"/>
      </w:r>
    </w:p>
    <w:p w14:paraId="46938D41" w14:textId="77777777" w:rsidR="00636145" w:rsidRDefault="00FD4404" w:rsidP="00942E97">
      <w:pPr>
        <w:pStyle w:val="Heading1"/>
        <w:numPr>
          <w:ilvl w:val="0"/>
          <w:numId w:val="0"/>
        </w:numPr>
      </w:pPr>
      <w:bookmarkStart w:id="16" w:name="_Toc30437411"/>
      <w:r>
        <w:lastRenderedPageBreak/>
        <w:t>À propos de DéPhy Montréal</w:t>
      </w:r>
      <w:bookmarkEnd w:id="16"/>
    </w:p>
    <w:p w14:paraId="259ECA4F" w14:textId="77777777" w:rsidR="002A321E" w:rsidRDefault="00CC65B2" w:rsidP="00CC65B2">
      <w:r w:rsidRPr="003C0BEA">
        <w:t>Fondé en 1985, DéPhy Montréal</w:t>
      </w:r>
      <w:r w:rsidR="002A321E">
        <w:t>, anciennement appelé le Regroupement des organismes de promotion du Montréal métropolitain (ROPMM),</w:t>
      </w:r>
      <w:r w:rsidRPr="003C0BEA">
        <w:t xml:space="preserve"> rassemble 50 organismes communautaires </w:t>
      </w:r>
      <w:r>
        <w:t xml:space="preserve">engagés dans </w:t>
      </w:r>
      <w:r w:rsidRPr="000A694B">
        <w:t xml:space="preserve">la défense des droits, la promotion des intérêts et l’amélioration des conditions de vie </w:t>
      </w:r>
      <w:r w:rsidRPr="003C0BEA">
        <w:t>des personnes ayant une déficience physique</w:t>
      </w:r>
      <w:r w:rsidR="00DB31EB">
        <w:t>,</w:t>
      </w:r>
      <w:r>
        <w:t xml:space="preserve"> </w:t>
      </w:r>
      <w:r w:rsidRPr="003C0BEA">
        <w:t xml:space="preserve">sur l’île de Montréal. </w:t>
      </w:r>
    </w:p>
    <w:p w14:paraId="57C40E6B" w14:textId="77777777" w:rsidR="00CC65B2" w:rsidRPr="00CD504B" w:rsidRDefault="00CC65B2" w:rsidP="00CC65B2">
      <w:r>
        <w:t>La dé</w:t>
      </w:r>
      <w:r w:rsidRPr="00262A0D">
        <w:t>ficience physique</w:t>
      </w:r>
      <w:r>
        <w:t xml:space="preserve"> comprend </w:t>
      </w:r>
      <w:r w:rsidR="00C05D1A">
        <w:t>les</w:t>
      </w:r>
      <w:r w:rsidRPr="00262A0D">
        <w:t xml:space="preserve"> déficience</w:t>
      </w:r>
      <w:r w:rsidR="00C05D1A">
        <w:t>s</w:t>
      </w:r>
      <w:r w:rsidRPr="00262A0D">
        <w:t xml:space="preserve"> motrice, visuelle et auditive, les troubles du langage et de la parole, ainsi que les déficiences organiques et neurologiques. </w:t>
      </w:r>
    </w:p>
    <w:p w14:paraId="1769F0EC" w14:textId="77777777" w:rsidR="009A172A" w:rsidRDefault="009A172A" w:rsidP="001B1C0B"/>
    <w:p w14:paraId="564C3D3D" w14:textId="77777777" w:rsidR="001B1C0B" w:rsidRDefault="001B1C0B" w:rsidP="001B1C0B">
      <w:r>
        <w:t xml:space="preserve">Depuis de nombreuses années, DéPhy Montréal est reconnu comme un interlocuteur privilégié par diverses institutions publiques et parapubliques, y compris par la Ville de Montréal. De fait, en tant que regroupement d’organismes, DéPhy Montréal bénéficie d’une expertise incomparable et diversifiée dans de nombreux domaines comme l’accessibilité universelle (A.U.), l’emploi, le logement, l’éducation, le transport, la santé et les services sociaux, etc. En conséquence, notre regroupement se prononce </w:t>
      </w:r>
      <w:r w:rsidR="00477662">
        <w:t xml:space="preserve">régulièrement </w:t>
      </w:r>
      <w:r>
        <w:t xml:space="preserve">sur diverses questions relatives aux personnes ayant une déficience physique et à leur famille. Pour ce faire, nous travaillons en étroite collaboration avec nos membres, notamment par le biais d’instances de concertations internes, comme des comités et des groupes de travail. </w:t>
      </w:r>
    </w:p>
    <w:p w14:paraId="45D62D25" w14:textId="24A85B68" w:rsidR="00DE02A6" w:rsidRPr="00FE43AB" w:rsidRDefault="001B1C0B" w:rsidP="00DF2B87">
      <w:r>
        <w:t xml:space="preserve">Le présent mémoire </w:t>
      </w:r>
      <w:r w:rsidR="00704BA2">
        <w:t xml:space="preserve">est </w:t>
      </w:r>
      <w:r>
        <w:t xml:space="preserve">ainsi </w:t>
      </w:r>
      <w:r w:rsidR="002876CC">
        <w:t xml:space="preserve">le fruit </w:t>
      </w:r>
      <w:r w:rsidR="00ED0BC8">
        <w:t xml:space="preserve">d’une concertation et de la </w:t>
      </w:r>
      <w:r w:rsidR="002876CC">
        <w:t xml:space="preserve">collaboration </w:t>
      </w:r>
      <w:r w:rsidR="00ED0BC8">
        <w:t xml:space="preserve">entre les </w:t>
      </w:r>
      <w:r w:rsidR="002876CC">
        <w:t>membres d</w:t>
      </w:r>
      <w:r w:rsidR="00704BA2">
        <w:t xml:space="preserve">u </w:t>
      </w:r>
      <w:r>
        <w:t xml:space="preserve">Comité Montréal accessible (CMA) de DéPhy Montréal. </w:t>
      </w:r>
    </w:p>
    <w:p w14:paraId="448EB211" w14:textId="77777777" w:rsidR="00DE02A6" w:rsidRDefault="00DE02A6" w:rsidP="009D5CF5">
      <w:pPr>
        <w:rPr>
          <w:rFonts w:eastAsiaTheme="majorEastAsia"/>
        </w:rPr>
      </w:pPr>
      <w:r>
        <w:br w:type="page"/>
      </w:r>
    </w:p>
    <w:p w14:paraId="315216E9" w14:textId="77777777" w:rsidR="00DF2B87" w:rsidRDefault="00653DBA" w:rsidP="00584951">
      <w:pPr>
        <w:pStyle w:val="Heading1"/>
        <w:numPr>
          <w:ilvl w:val="0"/>
          <w:numId w:val="0"/>
        </w:numPr>
      </w:pPr>
      <w:bookmarkStart w:id="17" w:name="_Toc30437412"/>
      <w:r>
        <w:lastRenderedPageBreak/>
        <w:t>Introduction</w:t>
      </w:r>
      <w:bookmarkEnd w:id="17"/>
    </w:p>
    <w:p w14:paraId="3545AF3A" w14:textId="7FD563F1" w:rsidR="00A229CE" w:rsidRPr="00154460" w:rsidRDefault="00BB7B65" w:rsidP="00154460">
      <w:r w:rsidRPr="00154460">
        <w:t>Le 13 novembre 2019, l</w:t>
      </w:r>
      <w:r w:rsidR="00A229CE" w:rsidRPr="00154460">
        <w:t xml:space="preserve">a </w:t>
      </w:r>
      <w:r w:rsidR="00A229CE" w:rsidRPr="000B23B3">
        <w:rPr>
          <w:i/>
        </w:rPr>
        <w:t>Commission permanente sur l’eau, l’environnement, le développement durable et les grands parcs</w:t>
      </w:r>
      <w:r w:rsidR="00A229CE" w:rsidRPr="00154460">
        <w:t xml:space="preserve"> </w:t>
      </w:r>
      <w:r w:rsidRPr="00154460">
        <w:t xml:space="preserve">de la Ville de Montréal </w:t>
      </w:r>
      <w:r w:rsidR="00507AE8" w:rsidRPr="00154460">
        <w:t xml:space="preserve">(ci-après « la Commission ») </w:t>
      </w:r>
      <w:r w:rsidRPr="00154460">
        <w:t>lan</w:t>
      </w:r>
      <w:r w:rsidR="007A4FA6">
        <w:t>çait</w:t>
      </w:r>
      <w:r w:rsidRPr="00154460">
        <w:t xml:space="preserve"> </w:t>
      </w:r>
      <w:r w:rsidR="00A229CE" w:rsidRPr="00154460">
        <w:t xml:space="preserve">une </w:t>
      </w:r>
      <w:r w:rsidR="00A229CE" w:rsidRPr="00AA1FB2">
        <w:t>consultation publique</w:t>
      </w:r>
      <w:r w:rsidR="00AA1FB2">
        <w:rPr>
          <w:rStyle w:val="FootnoteReference"/>
        </w:rPr>
        <w:footnoteReference w:id="1"/>
      </w:r>
      <w:r w:rsidR="00A229CE" w:rsidRPr="00154460">
        <w:t xml:space="preserve"> portant sur le projet de </w:t>
      </w:r>
      <w:r w:rsidR="00A229CE" w:rsidRPr="00154460">
        <w:rPr>
          <w:i/>
        </w:rPr>
        <w:t xml:space="preserve">Plan directeur de gestion des matières résiduelles de l’agglomération </w:t>
      </w:r>
      <w:r w:rsidR="00154460" w:rsidRPr="00154460">
        <w:rPr>
          <w:i/>
        </w:rPr>
        <w:t xml:space="preserve">de Montréal </w:t>
      </w:r>
      <w:r w:rsidR="00A229CE" w:rsidRPr="00154460">
        <w:rPr>
          <w:i/>
        </w:rPr>
        <w:t>2020</w:t>
      </w:r>
      <w:r w:rsidRPr="00154460">
        <w:rPr>
          <w:i/>
        </w:rPr>
        <w:t>-</w:t>
      </w:r>
      <w:r w:rsidR="00A229CE" w:rsidRPr="00154460">
        <w:rPr>
          <w:i/>
        </w:rPr>
        <w:t>2025</w:t>
      </w:r>
      <w:r w:rsidR="00154460">
        <w:t xml:space="preserve"> (ci-après « le Plan »)</w:t>
      </w:r>
      <w:r w:rsidR="00A229CE" w:rsidRPr="00154460">
        <w:t xml:space="preserve">. </w:t>
      </w:r>
    </w:p>
    <w:p w14:paraId="4D6021F4" w14:textId="1082D581" w:rsidR="00426033" w:rsidRDefault="00C64FE9" w:rsidP="00426033">
      <w:r>
        <w:t xml:space="preserve">Face </w:t>
      </w:r>
      <w:r w:rsidR="0025105C">
        <w:t xml:space="preserve">à la pollution et </w:t>
      </w:r>
      <w:r>
        <w:t>aux changements climatiques</w:t>
      </w:r>
      <w:r w:rsidR="00BD0BCD">
        <w:t>, ainsi qu’</w:t>
      </w:r>
      <w:r w:rsidR="00D674FB">
        <w:t xml:space="preserve">à leurs conséquences sur </w:t>
      </w:r>
      <w:r w:rsidR="00426572">
        <w:t xml:space="preserve">l’ensemble de </w:t>
      </w:r>
      <w:r w:rsidR="00D674FB">
        <w:t>la population, particulièrement sur les populations les plus vulnérables, n</w:t>
      </w:r>
      <w:r>
        <w:t xml:space="preserve">otre </w:t>
      </w:r>
      <w:r w:rsidR="00931B24">
        <w:t>R</w:t>
      </w:r>
      <w:r>
        <w:t>egroupement reconnaît l’urgence d’agir</w:t>
      </w:r>
      <w:r w:rsidR="00D674FB">
        <w:t>, et à ce titre, salue cette initiative de l’administration municipale.</w:t>
      </w:r>
      <w:r w:rsidR="00543291">
        <w:t xml:space="preserve"> Au demeurant</w:t>
      </w:r>
      <w:r w:rsidR="00FE3E76">
        <w:t xml:space="preserve">, </w:t>
      </w:r>
      <w:r w:rsidR="000A0093">
        <w:t xml:space="preserve">les personnes aînées ou ayant des limitations fonctionnelles font partie des </w:t>
      </w:r>
      <w:r w:rsidR="00F81940">
        <w:t>sept</w:t>
      </w:r>
      <w:r w:rsidR="002C5C32">
        <w:t xml:space="preserve"> groupes les plus susceptibles </w:t>
      </w:r>
      <w:r w:rsidR="00FE3E76">
        <w:t xml:space="preserve">de développer des problèmes de santé </w:t>
      </w:r>
      <w:r w:rsidR="002C5C32">
        <w:t xml:space="preserve">liés aux </w:t>
      </w:r>
      <w:r w:rsidR="00FE3E76">
        <w:t xml:space="preserve">changements climatiques et </w:t>
      </w:r>
      <w:r w:rsidR="002C5C32">
        <w:t xml:space="preserve">à </w:t>
      </w:r>
      <w:r w:rsidR="00FE3E76">
        <w:t>la pollution</w:t>
      </w:r>
      <w:r w:rsidR="003111DA">
        <w:rPr>
          <w:rStyle w:val="FootnoteReference"/>
        </w:rPr>
        <w:footnoteReference w:id="2"/>
      </w:r>
      <w:r w:rsidR="003111DA">
        <w:t xml:space="preserve">. </w:t>
      </w:r>
    </w:p>
    <w:p w14:paraId="7C037E54" w14:textId="77777777" w:rsidR="00AF11F2" w:rsidRDefault="00165968" w:rsidP="00292430">
      <w:r>
        <w:t xml:space="preserve">Aussi, à </w:t>
      </w:r>
      <w:r w:rsidR="008A40C1">
        <w:t>l’instar de tous les citoyens</w:t>
      </w:r>
      <w:r w:rsidR="00A07495">
        <w:t xml:space="preserve"> et citoyennes</w:t>
      </w:r>
      <w:r w:rsidR="008A40C1">
        <w:t>, les personnes aînées ou ayant des limitations fonctionnelles devront</w:t>
      </w:r>
      <w:r>
        <w:t xml:space="preserve">, dans la mesure de leurs capacités, </w:t>
      </w:r>
      <w:r w:rsidR="008A40C1">
        <w:t>modifier leur</w:t>
      </w:r>
      <w:r w:rsidR="00F81940">
        <w:t>s</w:t>
      </w:r>
      <w:r w:rsidR="008A40C1">
        <w:t xml:space="preserve"> comportement</w:t>
      </w:r>
      <w:r w:rsidR="00F81940">
        <w:t>s</w:t>
      </w:r>
      <w:r w:rsidR="008A40C1">
        <w:t xml:space="preserve"> pour participer à l’effort collectif, notamment</w:t>
      </w:r>
      <w:r w:rsidR="00BC20A7">
        <w:t xml:space="preserve"> </w:t>
      </w:r>
      <w:r w:rsidR="00372927">
        <w:t xml:space="preserve">en adoptant des habitudes </w:t>
      </w:r>
      <w:r w:rsidR="00BC20A7">
        <w:t>écoresponsables</w:t>
      </w:r>
      <w:r w:rsidR="00372927">
        <w:t xml:space="preserve"> en terme de réutilisation, de récupération ou de recyclage,</w:t>
      </w:r>
      <w:r w:rsidR="00BC20A7">
        <w:t xml:space="preserve"> </w:t>
      </w:r>
      <w:r w:rsidR="00372927">
        <w:t>et en é</w:t>
      </w:r>
      <w:r>
        <w:t xml:space="preserve">vitant de produire des déchets « non valorisables ». </w:t>
      </w:r>
    </w:p>
    <w:p w14:paraId="2D1263EA" w14:textId="222979E6" w:rsidR="00EE3FE8" w:rsidRDefault="009F5824" w:rsidP="00886C47">
      <w:r>
        <w:t>Toutefois</w:t>
      </w:r>
      <w:r w:rsidR="001D1648">
        <w:t xml:space="preserve">, avant de mettre en place </w:t>
      </w:r>
      <w:r w:rsidR="00FD6807">
        <w:t xml:space="preserve">des politiques et </w:t>
      </w:r>
      <w:r w:rsidR="003F5940">
        <w:t xml:space="preserve">des </w:t>
      </w:r>
      <w:r w:rsidR="00FD6807">
        <w:t>programmes</w:t>
      </w:r>
      <w:r w:rsidR="00133363">
        <w:t xml:space="preserve">, </w:t>
      </w:r>
      <w:r w:rsidR="001D1648">
        <w:t xml:space="preserve">la Ville de Montréal devra analyser leurs effets </w:t>
      </w:r>
      <w:r w:rsidR="00FD6807">
        <w:t>sur la qualité de vie et l'inclusion sociale des personnes aînées ou ayant des limitations fonctionnelles</w:t>
      </w:r>
      <w:r w:rsidR="001F0F8D">
        <w:t xml:space="preserve">. </w:t>
      </w:r>
      <w:r w:rsidR="00B750D1">
        <w:t>Aussi, m</w:t>
      </w:r>
      <w:r w:rsidR="00D32947">
        <w:t>ême si</w:t>
      </w:r>
      <w:r w:rsidR="00DE728D">
        <w:t xml:space="preserve"> </w:t>
      </w:r>
      <w:r w:rsidR="00D32947">
        <w:t xml:space="preserve">le Plan ne </w:t>
      </w:r>
      <w:r w:rsidR="00DE728D">
        <w:t xml:space="preserve">fait </w:t>
      </w:r>
      <w:r w:rsidR="00F81940">
        <w:t xml:space="preserve">pas partie du </w:t>
      </w:r>
      <w:r w:rsidR="00F81940" w:rsidRPr="00F81940">
        <w:rPr>
          <w:i/>
        </w:rPr>
        <w:t>P</w:t>
      </w:r>
      <w:r w:rsidR="00D32947" w:rsidRPr="00F81940">
        <w:rPr>
          <w:i/>
        </w:rPr>
        <w:t xml:space="preserve">rojet pilote </w:t>
      </w:r>
      <w:r w:rsidR="00F81940" w:rsidRPr="00F81940">
        <w:rPr>
          <w:i/>
        </w:rPr>
        <w:t>de l’intégration de l’ADS+</w:t>
      </w:r>
      <w:r w:rsidR="00F81940">
        <w:t xml:space="preserve"> (analyse différenciée selon les sexes et plus) </w:t>
      </w:r>
      <w:r w:rsidR="00D32947">
        <w:t xml:space="preserve">annoncé </w:t>
      </w:r>
      <w:r w:rsidR="00C714AF">
        <w:t xml:space="preserve">en 2018 </w:t>
      </w:r>
      <w:r w:rsidR="00D32947">
        <w:t>par la mairesse de Montréal</w:t>
      </w:r>
      <w:r w:rsidR="001F0F8D">
        <w:t xml:space="preserve">, </w:t>
      </w:r>
      <w:r w:rsidR="00F81940">
        <w:t>cette analyse devra</w:t>
      </w:r>
      <w:r w:rsidR="00FF6257">
        <w:t xml:space="preserve"> </w:t>
      </w:r>
      <w:r w:rsidR="00F81940">
        <w:t>être appliquée afin de mieux cerner les obstacles à la participation qu’il peut occasionner</w:t>
      </w:r>
      <w:r w:rsidR="00CB3FE8">
        <w:t>.</w:t>
      </w:r>
      <w:r w:rsidR="00807A34">
        <w:t xml:space="preserve"> En effet</w:t>
      </w:r>
      <w:r w:rsidR="00CB3FE8">
        <w:t>,</w:t>
      </w:r>
      <w:r w:rsidR="00A12B31">
        <w:t xml:space="preserve"> </w:t>
      </w:r>
      <w:r w:rsidR="00C36615">
        <w:t xml:space="preserve">en 2018, </w:t>
      </w:r>
      <w:r w:rsidR="00CB3FE8">
        <w:t>Valérie Plante</w:t>
      </w:r>
      <w:r w:rsidR="00C36615">
        <w:t xml:space="preserve"> affirmait</w:t>
      </w:r>
      <w:r w:rsidR="00A12B31">
        <w:t> </w:t>
      </w:r>
      <w:r w:rsidR="00F81940">
        <w:t>:</w:t>
      </w:r>
      <w:r w:rsidR="00A12B31">
        <w:t xml:space="preserve"> </w:t>
      </w:r>
      <w:r w:rsidR="00DE02A6" w:rsidRPr="00C714AF">
        <w:t>« […] nous visons l'équité et l'inclusion pour tous les groupes de citoyens dans tous nos projets, programmes et services municipaux. Il importe de se poser les bonnes questions dès le départ, dès que nous nous préparons à prendre une décision […] »</w:t>
      </w:r>
      <w:r w:rsidR="00EE3FE8">
        <w:rPr>
          <w:rStyle w:val="FootnoteReference"/>
        </w:rPr>
        <w:footnoteReference w:id="3"/>
      </w:r>
      <w:r w:rsidR="006E558A">
        <w:t>.</w:t>
      </w:r>
    </w:p>
    <w:p w14:paraId="358FC42D" w14:textId="4016B955" w:rsidR="00D44AD7" w:rsidRDefault="00080961" w:rsidP="00D44AD7">
      <w:r>
        <w:lastRenderedPageBreak/>
        <w:t>En outre, c</w:t>
      </w:r>
      <w:r w:rsidR="00FD6807">
        <w:t xml:space="preserve">onsidérant que, dans sa </w:t>
      </w:r>
      <w:r w:rsidR="00FD6807" w:rsidRPr="00482F85">
        <w:rPr>
          <w:i/>
        </w:rPr>
        <w:t>Politique municipale d’accessibilité universelle</w:t>
      </w:r>
      <w:r w:rsidR="00FD6807">
        <w:t>, la Ville de Montréal indique que « f</w:t>
      </w:r>
      <w:r w:rsidR="00FD6807" w:rsidRPr="00DA24A5">
        <w:t>ondée sur une approche d’inclusion, l’accessibilité universelle permet à toute personne, quelles que soient ses capacités, l’utilisation identique ou similaire, autonome et simultanée</w:t>
      </w:r>
      <w:r w:rsidR="00FD6807">
        <w:t>,</w:t>
      </w:r>
      <w:r w:rsidR="00FD6807" w:rsidRPr="00DA24A5">
        <w:t xml:space="preserve"> des services offerts à l’ensemble de la population</w:t>
      </w:r>
      <w:r w:rsidR="00FD6807">
        <w:t> </w:t>
      </w:r>
      <w:r w:rsidR="00FD6807" w:rsidRPr="00DA24A5">
        <w:t>»</w:t>
      </w:r>
      <w:r w:rsidR="00424591">
        <w:rPr>
          <w:rStyle w:val="FootnoteReference"/>
        </w:rPr>
        <w:footnoteReference w:id="4"/>
      </w:r>
      <w:r w:rsidR="00FD6807">
        <w:t xml:space="preserve">, </w:t>
      </w:r>
      <w:r>
        <w:t xml:space="preserve">toutes </w:t>
      </w:r>
      <w:r w:rsidR="00FD6807">
        <w:t>l</w:t>
      </w:r>
      <w:r w:rsidR="00FD6807" w:rsidRPr="00DA24A5">
        <w:t xml:space="preserve">es mesures mises en place </w:t>
      </w:r>
      <w:r w:rsidR="00FD6807">
        <w:t>par l’administration municipale devront tenir compte du concept d’accessibilité universelle</w:t>
      </w:r>
      <w:r w:rsidR="00B750D1">
        <w:t>, afin d’être inclusive</w:t>
      </w:r>
      <w:r>
        <w:t>s</w:t>
      </w:r>
      <w:r w:rsidR="00B750D1">
        <w:t xml:space="preserve"> et de respecter l</w:t>
      </w:r>
      <w:r w:rsidR="00B750D1" w:rsidRPr="00DA24A5">
        <w:t>es droits de tous les citoyens</w:t>
      </w:r>
      <w:r w:rsidR="00A07495">
        <w:t xml:space="preserve"> et citoyennes</w:t>
      </w:r>
      <w:r w:rsidR="00D44AD7">
        <w:t>, et ce, dans tous les axes définis dans la politique municipale, soit l’architecture et l’urbanisme, les programmes et services, les communications, la sensibilisation et la formation.</w:t>
      </w:r>
    </w:p>
    <w:p w14:paraId="6765C6B7" w14:textId="77777777" w:rsidR="00F934AC" w:rsidRDefault="003F5940" w:rsidP="00A229CE">
      <w:r>
        <w:t>C’est pourquoi</w:t>
      </w:r>
      <w:r w:rsidR="00785D84">
        <w:t>, a</w:t>
      </w:r>
      <w:r w:rsidR="008A40C1">
        <w:t xml:space="preserve">près avoir pris connaissance des documents </w:t>
      </w:r>
      <w:r w:rsidR="00F41C85">
        <w:t xml:space="preserve">qui font l’objet de cette consultation, </w:t>
      </w:r>
      <w:r>
        <w:t xml:space="preserve">et considérant le nombre de personnes aînées ou ayant des limitations fonctionnelles résidant sur l’île de Montréal, </w:t>
      </w:r>
      <w:r w:rsidR="008A40C1">
        <w:t xml:space="preserve">nous souhaitons porter à l’attention des membres de la Commission différents </w:t>
      </w:r>
      <w:r w:rsidR="00927AA6">
        <w:t xml:space="preserve">enjeux, ainsi que les </w:t>
      </w:r>
      <w:r w:rsidR="008A40C1">
        <w:t>impacts possibles de certaines actions envisagées</w:t>
      </w:r>
      <w:r w:rsidR="00927AA6">
        <w:t xml:space="preserve"> dans le Plan</w:t>
      </w:r>
      <w:r w:rsidR="008A40C1">
        <w:t xml:space="preserve">, sur </w:t>
      </w:r>
      <w:r>
        <w:t>c</w:t>
      </w:r>
      <w:r w:rsidR="008A40C1">
        <w:t>es personnes</w:t>
      </w:r>
      <w:r>
        <w:t xml:space="preserve">. </w:t>
      </w:r>
    </w:p>
    <w:p w14:paraId="4685488D" w14:textId="77777777" w:rsidR="008E10FD" w:rsidRDefault="002D6D5D" w:rsidP="003049CD">
      <w:pPr>
        <w:pStyle w:val="Heading1"/>
      </w:pPr>
      <w:bookmarkStart w:id="18" w:name="_Toc30437413"/>
      <w:r>
        <w:t>Bref portrait populationnel</w:t>
      </w:r>
      <w:bookmarkEnd w:id="18"/>
      <w:r>
        <w:t xml:space="preserve"> </w:t>
      </w:r>
    </w:p>
    <w:p w14:paraId="023D1C8C" w14:textId="77777777" w:rsidR="007B2576" w:rsidRDefault="007B2576" w:rsidP="00E265B2">
      <w:pPr>
        <w:rPr>
          <w:rFonts w:eastAsia="Calibri" w:cs="Arial"/>
          <w:szCs w:val="24"/>
        </w:rPr>
      </w:pPr>
      <w:r>
        <w:rPr>
          <w:rFonts w:eastAsia="Calibri" w:cs="Arial"/>
          <w:szCs w:val="24"/>
        </w:rPr>
        <w:t xml:space="preserve">Avant de présenter les enjeux du Plan sur les personnes aînées ou ayant des limitations fonctionnelles, </w:t>
      </w:r>
      <w:r w:rsidR="00AC3F4F">
        <w:rPr>
          <w:rFonts w:eastAsia="Calibri" w:cs="Arial"/>
          <w:szCs w:val="24"/>
        </w:rPr>
        <w:t xml:space="preserve">ainsi que </w:t>
      </w:r>
      <w:r>
        <w:rPr>
          <w:rFonts w:eastAsia="Calibri" w:cs="Arial"/>
          <w:szCs w:val="24"/>
        </w:rPr>
        <w:t xml:space="preserve">les impacts </w:t>
      </w:r>
      <w:r w:rsidR="0088135A">
        <w:rPr>
          <w:rFonts w:eastAsia="Calibri" w:cs="Arial"/>
          <w:szCs w:val="24"/>
        </w:rPr>
        <w:t xml:space="preserve">possibles </w:t>
      </w:r>
      <w:r>
        <w:rPr>
          <w:rFonts w:eastAsia="Calibri" w:cs="Arial"/>
          <w:szCs w:val="24"/>
        </w:rPr>
        <w:t xml:space="preserve">des actions envisagées </w:t>
      </w:r>
      <w:r w:rsidR="00773685">
        <w:rPr>
          <w:rFonts w:eastAsia="Calibri" w:cs="Arial"/>
          <w:szCs w:val="24"/>
        </w:rPr>
        <w:t xml:space="preserve">par la Ville </w:t>
      </w:r>
      <w:r>
        <w:rPr>
          <w:rFonts w:eastAsia="Calibri" w:cs="Arial"/>
          <w:szCs w:val="24"/>
        </w:rPr>
        <w:t>sur ces personnes, il est important d</w:t>
      </w:r>
      <w:r w:rsidR="00773685">
        <w:rPr>
          <w:rFonts w:eastAsia="Calibri" w:cs="Arial"/>
          <w:szCs w:val="24"/>
        </w:rPr>
        <w:t>’en</w:t>
      </w:r>
      <w:r>
        <w:rPr>
          <w:rFonts w:eastAsia="Calibri" w:cs="Arial"/>
          <w:szCs w:val="24"/>
        </w:rPr>
        <w:t xml:space="preserve"> dresser un portrait sommaire</w:t>
      </w:r>
      <w:r w:rsidR="00773685">
        <w:rPr>
          <w:rFonts w:eastAsia="Calibri" w:cs="Arial"/>
          <w:szCs w:val="24"/>
        </w:rPr>
        <w:t xml:space="preserve"> en termes </w:t>
      </w:r>
      <w:r w:rsidR="00FE3F1C">
        <w:rPr>
          <w:rFonts w:eastAsia="Calibri" w:cs="Arial"/>
          <w:szCs w:val="24"/>
        </w:rPr>
        <w:t xml:space="preserve">démographique, socio-sanitaire et économique. </w:t>
      </w:r>
    </w:p>
    <w:p w14:paraId="162BFA86" w14:textId="77777777" w:rsidR="00007332" w:rsidRDefault="00C963F4" w:rsidP="009F7006">
      <w:pPr>
        <w:rPr>
          <w:rFonts w:eastAsia="Calibri" w:cs="Arial"/>
          <w:szCs w:val="24"/>
        </w:rPr>
      </w:pPr>
      <w:r>
        <w:rPr>
          <w:rFonts w:eastAsia="Calibri" w:cs="Arial"/>
          <w:szCs w:val="24"/>
        </w:rPr>
        <w:t xml:space="preserve">Selon l’Office des personnes handicapées du Québec, </w:t>
      </w:r>
      <w:r w:rsidR="0088135A">
        <w:rPr>
          <w:rFonts w:eastAsia="Calibri" w:cs="Arial"/>
          <w:szCs w:val="24"/>
        </w:rPr>
        <w:t xml:space="preserve">en 2012, </w:t>
      </w:r>
      <w:r>
        <w:rPr>
          <w:rFonts w:eastAsia="Calibri" w:cs="Arial"/>
          <w:szCs w:val="24"/>
        </w:rPr>
        <w:t xml:space="preserve">la région administrative de Montréal comptait environ 160 000 personnes ayant des </w:t>
      </w:r>
      <w:r w:rsidR="002D7DC8">
        <w:rPr>
          <w:rFonts w:eastAsia="Calibri" w:cs="Arial"/>
          <w:szCs w:val="24"/>
        </w:rPr>
        <w:t>incapacités</w:t>
      </w:r>
      <w:r>
        <w:rPr>
          <w:rFonts w:eastAsia="Calibri" w:cs="Arial"/>
          <w:szCs w:val="24"/>
        </w:rPr>
        <w:t>, dont environ 71 000 personnes âgées de 65 ans et plus</w:t>
      </w:r>
      <w:r>
        <w:rPr>
          <w:rStyle w:val="FootnoteReference"/>
          <w:rFonts w:eastAsia="Calibri" w:cs="Arial"/>
          <w:szCs w:val="24"/>
        </w:rPr>
        <w:footnoteReference w:id="5"/>
      </w:r>
      <w:r>
        <w:rPr>
          <w:rFonts w:eastAsia="Calibri" w:cs="Arial"/>
          <w:szCs w:val="24"/>
        </w:rPr>
        <w:t xml:space="preserve">. </w:t>
      </w:r>
    </w:p>
    <w:p w14:paraId="7D7CD9BB" w14:textId="510B295F" w:rsidR="00C73CB1" w:rsidRDefault="00C23307" w:rsidP="009F7006">
      <w:pPr>
        <w:rPr>
          <w:rFonts w:eastAsia="Calibri" w:cs="Arial"/>
          <w:szCs w:val="24"/>
        </w:rPr>
      </w:pPr>
      <w:r>
        <w:rPr>
          <w:rFonts w:eastAsia="Calibri" w:cs="Arial"/>
          <w:szCs w:val="24"/>
        </w:rPr>
        <w:t xml:space="preserve">En outre, </w:t>
      </w:r>
      <w:r w:rsidR="00AC4107">
        <w:rPr>
          <w:rFonts w:eastAsia="Calibri" w:cs="Arial"/>
          <w:szCs w:val="24"/>
        </w:rPr>
        <w:t>tel qu’indiqué dans le portrait des aînés de l’île de Montréal publié en 2017</w:t>
      </w:r>
      <w:r w:rsidR="00AC4107" w:rsidRPr="00115AC4">
        <w:rPr>
          <w:rFonts w:eastAsia="Calibri" w:cs="Arial"/>
          <w:szCs w:val="24"/>
          <w:vertAlign w:val="superscript"/>
        </w:rPr>
        <w:footnoteReference w:id="6"/>
      </w:r>
      <w:r w:rsidR="00AC4107">
        <w:rPr>
          <w:rFonts w:eastAsia="Calibri" w:cs="Arial"/>
          <w:szCs w:val="24"/>
        </w:rPr>
        <w:t xml:space="preserve">, </w:t>
      </w:r>
      <w:r w:rsidR="00870706">
        <w:rPr>
          <w:rFonts w:eastAsia="Calibri" w:cs="Arial"/>
          <w:szCs w:val="24"/>
        </w:rPr>
        <w:t>l</w:t>
      </w:r>
      <w:r w:rsidR="00870706" w:rsidRPr="00115AC4">
        <w:rPr>
          <w:rFonts w:eastAsia="Calibri" w:cs="Arial"/>
          <w:szCs w:val="24"/>
        </w:rPr>
        <w:t>a population de Montréal vieillit</w:t>
      </w:r>
      <w:r w:rsidR="00870706">
        <w:rPr>
          <w:rFonts w:eastAsia="Calibri" w:cs="Arial"/>
          <w:szCs w:val="24"/>
        </w:rPr>
        <w:t>,</w:t>
      </w:r>
      <w:r w:rsidR="00870706" w:rsidRPr="00115AC4">
        <w:rPr>
          <w:rFonts w:eastAsia="Calibri" w:cs="Arial"/>
          <w:szCs w:val="24"/>
        </w:rPr>
        <w:t xml:space="preserve"> et son vieillissement </w:t>
      </w:r>
      <w:r w:rsidR="00D52853">
        <w:rPr>
          <w:rFonts w:eastAsia="Calibri" w:cs="Arial"/>
          <w:szCs w:val="24"/>
        </w:rPr>
        <w:t>s’accélè</w:t>
      </w:r>
      <w:r w:rsidR="00870706">
        <w:rPr>
          <w:rFonts w:eastAsia="Calibri" w:cs="Arial"/>
          <w:szCs w:val="24"/>
        </w:rPr>
        <w:t>rera dans les prochaines années</w:t>
      </w:r>
      <w:r w:rsidR="0032635A">
        <w:rPr>
          <w:rFonts w:eastAsia="Calibri" w:cs="Arial"/>
          <w:szCs w:val="24"/>
        </w:rPr>
        <w:t> : l</w:t>
      </w:r>
      <w:r w:rsidR="00870706">
        <w:rPr>
          <w:rFonts w:eastAsia="Calibri" w:cs="Arial"/>
          <w:szCs w:val="24"/>
        </w:rPr>
        <w:t xml:space="preserve">e nombre de personnes âgées de plus de 65 ans </w:t>
      </w:r>
      <w:r w:rsidR="00424591">
        <w:rPr>
          <w:rFonts w:eastAsia="Calibri" w:cs="Arial"/>
          <w:szCs w:val="24"/>
        </w:rPr>
        <w:t>devant passer</w:t>
      </w:r>
      <w:r w:rsidR="00BB1748">
        <w:rPr>
          <w:rFonts w:eastAsia="Calibri" w:cs="Arial"/>
          <w:szCs w:val="24"/>
        </w:rPr>
        <w:t xml:space="preserve"> de </w:t>
      </w:r>
      <w:r w:rsidR="00AD1619">
        <w:rPr>
          <w:rFonts w:eastAsia="Calibri" w:cs="Arial"/>
          <w:szCs w:val="24"/>
        </w:rPr>
        <w:t xml:space="preserve">plus de </w:t>
      </w:r>
      <w:r w:rsidR="00E265B2" w:rsidRPr="00115AC4">
        <w:rPr>
          <w:rFonts w:eastAsia="Calibri" w:cs="Arial"/>
          <w:szCs w:val="24"/>
        </w:rPr>
        <w:lastRenderedPageBreak/>
        <w:t>323</w:t>
      </w:r>
      <w:r w:rsidR="00E265B2">
        <w:rPr>
          <w:rFonts w:eastAsia="Calibri" w:cs="Arial"/>
          <w:szCs w:val="24"/>
        </w:rPr>
        <w:t> </w:t>
      </w:r>
      <w:r w:rsidR="00AD1619">
        <w:rPr>
          <w:rFonts w:eastAsia="Calibri" w:cs="Arial"/>
          <w:szCs w:val="24"/>
        </w:rPr>
        <w:t>000</w:t>
      </w:r>
      <w:r w:rsidR="00E265B2">
        <w:rPr>
          <w:rFonts w:eastAsia="Calibri" w:cs="Arial"/>
          <w:szCs w:val="24"/>
        </w:rPr>
        <w:t xml:space="preserve"> </w:t>
      </w:r>
      <w:r w:rsidR="00AD1619">
        <w:rPr>
          <w:rFonts w:eastAsia="Calibri" w:cs="Arial"/>
          <w:szCs w:val="24"/>
        </w:rPr>
        <w:t xml:space="preserve">en 2016, </w:t>
      </w:r>
      <w:r w:rsidR="00BB1748">
        <w:rPr>
          <w:rFonts w:eastAsia="Calibri" w:cs="Arial"/>
          <w:szCs w:val="24"/>
        </w:rPr>
        <w:t xml:space="preserve">à plus de </w:t>
      </w:r>
      <w:r w:rsidR="00E265B2">
        <w:rPr>
          <w:rFonts w:eastAsia="Calibri" w:cs="Arial"/>
          <w:szCs w:val="24"/>
        </w:rPr>
        <w:t>465</w:t>
      </w:r>
      <w:r w:rsidR="00BB1748">
        <w:rPr>
          <w:rFonts w:eastAsia="Calibri" w:cs="Arial"/>
          <w:szCs w:val="24"/>
        </w:rPr>
        <w:t> 000 en 2036</w:t>
      </w:r>
      <w:r w:rsidR="00E265B2" w:rsidRPr="00115AC4">
        <w:rPr>
          <w:rFonts w:eastAsia="Calibri" w:cs="Arial"/>
          <w:szCs w:val="24"/>
        </w:rPr>
        <w:t>.</w:t>
      </w:r>
      <w:r w:rsidR="00BD3DB0">
        <w:rPr>
          <w:rFonts w:eastAsia="Calibri" w:cs="Arial"/>
          <w:szCs w:val="24"/>
        </w:rPr>
        <w:t xml:space="preserve"> Du reste</w:t>
      </w:r>
      <w:r w:rsidR="00410BCB">
        <w:rPr>
          <w:rFonts w:eastAsia="Calibri" w:cs="Arial"/>
          <w:szCs w:val="24"/>
        </w:rPr>
        <w:t xml:space="preserve">, </w:t>
      </w:r>
      <w:r w:rsidR="00C73CB1">
        <w:rPr>
          <w:rFonts w:eastAsia="Calibri" w:cs="Arial"/>
          <w:szCs w:val="24"/>
        </w:rPr>
        <w:t>61</w:t>
      </w:r>
      <w:r w:rsidR="00BB0B6F">
        <w:rPr>
          <w:rFonts w:eastAsia="Calibri" w:cs="Arial"/>
          <w:szCs w:val="24"/>
        </w:rPr>
        <w:t> %</w:t>
      </w:r>
      <w:r w:rsidR="00C73CB1">
        <w:rPr>
          <w:rFonts w:eastAsia="Calibri" w:cs="Arial"/>
          <w:szCs w:val="24"/>
        </w:rPr>
        <w:t xml:space="preserve"> des </w:t>
      </w:r>
      <w:r w:rsidR="00C73CB1" w:rsidRPr="005C6238">
        <w:rPr>
          <w:rFonts w:eastAsia="Calibri" w:cs="Arial"/>
          <w:szCs w:val="24"/>
        </w:rPr>
        <w:t xml:space="preserve">aînés montréalais vivent avec une incapacité, et </w:t>
      </w:r>
      <w:r w:rsidR="002D7DC8" w:rsidRPr="005C6238">
        <w:rPr>
          <w:rFonts w:eastAsia="Calibri" w:cs="Arial"/>
          <w:szCs w:val="24"/>
        </w:rPr>
        <w:t xml:space="preserve">plus </w:t>
      </w:r>
      <w:r w:rsidR="00424591">
        <w:rPr>
          <w:rFonts w:eastAsia="Calibri" w:cs="Arial"/>
          <w:szCs w:val="24"/>
        </w:rPr>
        <w:t>du quart des</w:t>
      </w:r>
      <w:r w:rsidR="002D7DC8" w:rsidRPr="005C6238">
        <w:rPr>
          <w:rFonts w:eastAsia="Calibri" w:cs="Arial"/>
          <w:szCs w:val="24"/>
        </w:rPr>
        <w:t xml:space="preserve"> aîné</w:t>
      </w:r>
      <w:r w:rsidR="00424591">
        <w:rPr>
          <w:rFonts w:eastAsia="Calibri" w:cs="Arial"/>
          <w:szCs w:val="24"/>
        </w:rPr>
        <w:t>s</w:t>
      </w:r>
      <w:r w:rsidR="002D7DC8" w:rsidRPr="005C6238">
        <w:rPr>
          <w:rFonts w:eastAsia="Calibri" w:cs="Arial"/>
          <w:szCs w:val="24"/>
        </w:rPr>
        <w:t xml:space="preserve"> montréalais (2</w:t>
      </w:r>
      <w:r w:rsidR="002D7DC8">
        <w:rPr>
          <w:rFonts w:eastAsia="Calibri" w:cs="Arial"/>
          <w:szCs w:val="24"/>
        </w:rPr>
        <w:t>7</w:t>
      </w:r>
      <w:r w:rsidR="00BB0B6F">
        <w:rPr>
          <w:rFonts w:eastAsia="Calibri" w:cs="Arial"/>
          <w:szCs w:val="24"/>
        </w:rPr>
        <w:t> %</w:t>
      </w:r>
      <w:r w:rsidR="002D7DC8">
        <w:rPr>
          <w:rFonts w:eastAsia="Calibri" w:cs="Arial"/>
          <w:szCs w:val="24"/>
        </w:rPr>
        <w:t>) considère</w:t>
      </w:r>
      <w:r w:rsidR="00424591">
        <w:rPr>
          <w:rFonts w:eastAsia="Calibri" w:cs="Arial"/>
          <w:szCs w:val="24"/>
        </w:rPr>
        <w:t>nt</w:t>
      </w:r>
      <w:r w:rsidR="002D7DC8">
        <w:rPr>
          <w:rFonts w:eastAsia="Calibri" w:cs="Arial"/>
          <w:szCs w:val="24"/>
        </w:rPr>
        <w:t xml:space="preserve"> </w:t>
      </w:r>
      <w:r w:rsidR="00C73CB1">
        <w:rPr>
          <w:rFonts w:eastAsia="Calibri" w:cs="Arial"/>
          <w:szCs w:val="24"/>
        </w:rPr>
        <w:t xml:space="preserve">que </w:t>
      </w:r>
      <w:r w:rsidR="00424591">
        <w:rPr>
          <w:rFonts w:eastAsia="Calibri" w:cs="Arial"/>
          <w:szCs w:val="24"/>
        </w:rPr>
        <w:t>leur</w:t>
      </w:r>
      <w:r w:rsidR="002D7DC8">
        <w:rPr>
          <w:rFonts w:eastAsia="Calibri" w:cs="Arial"/>
          <w:szCs w:val="24"/>
        </w:rPr>
        <w:t xml:space="preserve"> </w:t>
      </w:r>
      <w:r w:rsidR="003A3B31" w:rsidRPr="003A3B31">
        <w:rPr>
          <w:rFonts w:eastAsia="Calibri" w:cs="Arial"/>
          <w:szCs w:val="24"/>
        </w:rPr>
        <w:t xml:space="preserve">santé physique </w:t>
      </w:r>
      <w:r w:rsidR="00C73CB1">
        <w:rPr>
          <w:rFonts w:eastAsia="Calibri" w:cs="Arial"/>
          <w:szCs w:val="24"/>
        </w:rPr>
        <w:t xml:space="preserve">est </w:t>
      </w:r>
      <w:r w:rsidR="003A3B31" w:rsidRPr="003A3B31">
        <w:rPr>
          <w:rFonts w:eastAsia="Calibri" w:cs="Arial"/>
          <w:szCs w:val="24"/>
        </w:rPr>
        <w:t>passable ou mauvaise</w:t>
      </w:r>
      <w:r w:rsidR="00C73CB1">
        <w:rPr>
          <w:rFonts w:eastAsia="Calibri" w:cs="Arial"/>
          <w:szCs w:val="24"/>
        </w:rPr>
        <w:t>.</w:t>
      </w:r>
      <w:r w:rsidR="003A3B31">
        <w:rPr>
          <w:rFonts w:eastAsia="Calibri" w:cs="Arial"/>
          <w:szCs w:val="24"/>
        </w:rPr>
        <w:t xml:space="preserve"> </w:t>
      </w:r>
    </w:p>
    <w:p w14:paraId="39B9E7F4" w14:textId="2E4007F4" w:rsidR="008D7FB9" w:rsidRDefault="00AC3F4F" w:rsidP="0088135A">
      <w:pPr>
        <w:spacing w:before="0" w:after="160" w:line="259" w:lineRule="auto"/>
        <w:rPr>
          <w:rFonts w:eastAsia="Calibri" w:cs="Arial"/>
          <w:szCs w:val="24"/>
        </w:rPr>
      </w:pPr>
      <w:r>
        <w:t>Par ailleurs, s</w:t>
      </w:r>
      <w:r w:rsidR="008D7FB9">
        <w:t>elon l'</w:t>
      </w:r>
      <w:r w:rsidR="008D7FB9" w:rsidRPr="009B1C7D">
        <w:t>Enquête canadienne sur l’incapacité</w:t>
      </w:r>
      <w:r w:rsidR="00ED56AE">
        <w:rPr>
          <w:rStyle w:val="FootnoteReference"/>
        </w:rPr>
        <w:footnoteReference w:id="7"/>
      </w:r>
      <w:r w:rsidR="008D7FB9" w:rsidRPr="009B1C7D">
        <w:t xml:space="preserve"> (ECI) de 2012</w:t>
      </w:r>
      <w:r w:rsidR="008D7FB9">
        <w:t>, 17</w:t>
      </w:r>
      <w:r w:rsidR="00BB0B6F">
        <w:t> %</w:t>
      </w:r>
      <w:r w:rsidR="00F81940">
        <w:t xml:space="preserve"> des personnes avec incapacité a</w:t>
      </w:r>
      <w:r w:rsidR="008D7FB9">
        <w:t>u Québec font partie d'un ménage dont le revenu total est inférieur au seuil de faible revenu, contre 12</w:t>
      </w:r>
      <w:r w:rsidR="00BB0B6F">
        <w:t> %</w:t>
      </w:r>
      <w:r w:rsidR="008D7FB9">
        <w:t xml:space="preserve"> </w:t>
      </w:r>
      <w:r w:rsidR="00D52853">
        <w:t>d</w:t>
      </w:r>
      <w:r w:rsidR="008D7FB9">
        <w:t>es personnes sans incapacité. Cet écart significatif entre les personnes avec et sans incapacité s'observe tant chez les hommes (15</w:t>
      </w:r>
      <w:r w:rsidR="00BB0B6F">
        <w:t> %</w:t>
      </w:r>
      <w:r w:rsidR="008D7FB9">
        <w:t xml:space="preserve"> c. 12</w:t>
      </w:r>
      <w:r w:rsidR="00BB0B6F">
        <w:t> %</w:t>
      </w:r>
      <w:r w:rsidR="008D7FB9">
        <w:t>) que chez les femmes (18</w:t>
      </w:r>
      <w:r w:rsidR="00BB0B6F">
        <w:t> %</w:t>
      </w:r>
      <w:r w:rsidR="008D7FB9">
        <w:t xml:space="preserve"> c. 12</w:t>
      </w:r>
      <w:r w:rsidR="00BB0B6F">
        <w:t> %</w:t>
      </w:r>
      <w:r w:rsidR="008D7FB9">
        <w:t>), et tant chez les 15 à 64 ans (21</w:t>
      </w:r>
      <w:r w:rsidR="00BB0B6F">
        <w:t> %</w:t>
      </w:r>
      <w:r w:rsidR="008D7FB9">
        <w:t xml:space="preserve"> c. 13</w:t>
      </w:r>
      <w:r w:rsidR="00BB0B6F">
        <w:t> %</w:t>
      </w:r>
      <w:r w:rsidR="008D7FB9">
        <w:t>) que chez les 65 ans et plus (11</w:t>
      </w:r>
      <w:r w:rsidR="00BB0B6F">
        <w:t> %</w:t>
      </w:r>
      <w:r w:rsidR="008D7FB9">
        <w:t xml:space="preserve"> c. 7</w:t>
      </w:r>
      <w:r w:rsidR="00BB0B6F">
        <w:t> %</w:t>
      </w:r>
      <w:r w:rsidR="008D7FB9">
        <w:t>). Ainsi, parmi la population avec incapacité, les personnes de 15 à 64 ans et les femmes sont les plus touchées par la pauvreté : dans les deux cas, pr</w:t>
      </w:r>
      <w:r w:rsidR="00BB0B6F">
        <w:t>ès d'une personne sur cinq vi</w:t>
      </w:r>
      <w:r w:rsidR="008D7FB9">
        <w:t>t dans un ménage sous le seuil de faible revenu</w:t>
      </w:r>
      <w:r>
        <w:rPr>
          <w:rStyle w:val="FootnoteReference"/>
        </w:rPr>
        <w:footnoteReference w:id="8"/>
      </w:r>
      <w:r w:rsidR="008D7FB9">
        <w:t>.</w:t>
      </w:r>
    </w:p>
    <w:p w14:paraId="2C04405A" w14:textId="0F095967" w:rsidR="0088135A" w:rsidRDefault="0088135A" w:rsidP="0088135A">
      <w:pPr>
        <w:spacing w:before="0" w:after="160" w:line="259" w:lineRule="auto"/>
      </w:pPr>
      <w:r>
        <w:rPr>
          <w:rFonts w:eastAsia="Calibri" w:cs="Arial"/>
          <w:szCs w:val="24"/>
        </w:rPr>
        <w:t xml:space="preserve">D’autre part, </w:t>
      </w:r>
      <w:r>
        <w:t xml:space="preserve">les personnes </w:t>
      </w:r>
      <w:r w:rsidR="00A23609">
        <w:t xml:space="preserve">de 15 ans et plus </w:t>
      </w:r>
      <w:r>
        <w:t>avec incapacité sont proportionnellement plus nombreuses à vivre seules que les personnes sans incapacité</w:t>
      </w:r>
      <w:r w:rsidR="00A23609">
        <w:t xml:space="preserve"> (</w:t>
      </w:r>
      <w:r>
        <w:t>27</w:t>
      </w:r>
      <w:r w:rsidR="00BB0B6F">
        <w:t> %</w:t>
      </w:r>
      <w:r>
        <w:t xml:space="preserve"> c</w:t>
      </w:r>
      <w:r w:rsidR="00A23609">
        <w:t>.</w:t>
      </w:r>
      <w:r>
        <w:t xml:space="preserve"> 15</w:t>
      </w:r>
      <w:r w:rsidR="00BB0B6F">
        <w:t> %</w:t>
      </w:r>
      <w:r w:rsidR="00A23609">
        <w:t>)</w:t>
      </w:r>
      <w:r w:rsidR="00B24FE4">
        <w:rPr>
          <w:rStyle w:val="FootnoteReference"/>
        </w:rPr>
        <w:footnoteReference w:id="9"/>
      </w:r>
      <w:r>
        <w:t xml:space="preserve">. </w:t>
      </w:r>
      <w:r w:rsidR="00B24FE4">
        <w:t>L</w:t>
      </w:r>
      <w:r>
        <w:t xml:space="preserve">'analyse selon l'âge montre également que les personnes de 65 ans et plus vivent plus souvent seules que celles de 15 à 64 ans, </w:t>
      </w:r>
      <w:r w:rsidR="00D52853">
        <w:t>ce qui est observé</w:t>
      </w:r>
      <w:r>
        <w:t xml:space="preserve"> tant chez les personnes avec incapacité (33</w:t>
      </w:r>
      <w:r w:rsidR="00BB0B6F">
        <w:t> %</w:t>
      </w:r>
      <w:r>
        <w:t xml:space="preserve"> c. 22</w:t>
      </w:r>
      <w:r w:rsidR="00BB0B6F">
        <w:t> %</w:t>
      </w:r>
      <w:r>
        <w:t>) que chez celles sans incapacité (28</w:t>
      </w:r>
      <w:r w:rsidR="00BB0B6F">
        <w:t> %</w:t>
      </w:r>
      <w:r>
        <w:t xml:space="preserve"> c. 13</w:t>
      </w:r>
      <w:r w:rsidR="00BB0B6F">
        <w:t> %</w:t>
      </w:r>
      <w:r>
        <w:t>). La proportion de personnes vivant seules varie aussi selon la gravité de l'incapacité</w:t>
      </w:r>
      <w:r w:rsidR="000C206A">
        <w:t xml:space="preserve"> : </w:t>
      </w:r>
      <w:r>
        <w:t>20</w:t>
      </w:r>
      <w:r w:rsidR="00BB0B6F">
        <w:t> %</w:t>
      </w:r>
      <w:r>
        <w:t xml:space="preserve"> des personnes ayant une incapacité légère</w:t>
      </w:r>
      <w:r w:rsidR="000C206A">
        <w:t>,</w:t>
      </w:r>
      <w:r>
        <w:t xml:space="preserve"> 28</w:t>
      </w:r>
      <w:r w:rsidR="00BB0B6F">
        <w:t> %</w:t>
      </w:r>
      <w:r>
        <w:t xml:space="preserve"> des personnes ayant une incapacité modérée, 26</w:t>
      </w:r>
      <w:r w:rsidR="00BB0B6F">
        <w:t> %</w:t>
      </w:r>
      <w:r>
        <w:t xml:space="preserve"> des personnes ayant une incapacité grave et 34</w:t>
      </w:r>
      <w:r w:rsidR="00BB0B6F">
        <w:t> %</w:t>
      </w:r>
      <w:r>
        <w:t xml:space="preserve"> des personnes dont l'incapacité est très grave. </w:t>
      </w:r>
    </w:p>
    <w:p w14:paraId="4C8BD448" w14:textId="4A4B9877" w:rsidR="00F951C9" w:rsidRPr="00115AC4" w:rsidRDefault="00ED02EA" w:rsidP="00F951C9">
      <w:pPr>
        <w:spacing w:before="0" w:after="160" w:line="259" w:lineRule="auto"/>
        <w:rPr>
          <w:rFonts w:eastAsia="Calibri" w:cs="Arial"/>
          <w:szCs w:val="24"/>
        </w:rPr>
      </w:pPr>
      <w:r>
        <w:rPr>
          <w:rFonts w:eastAsia="Calibri" w:cs="Arial"/>
          <w:szCs w:val="24"/>
        </w:rPr>
        <w:t>De plus</w:t>
      </w:r>
      <w:r w:rsidR="008A22BD">
        <w:rPr>
          <w:rFonts w:eastAsia="Calibri" w:cs="Arial"/>
          <w:szCs w:val="24"/>
        </w:rPr>
        <w:t xml:space="preserve">, </w:t>
      </w:r>
      <w:r w:rsidR="002C48A8">
        <w:rPr>
          <w:rFonts w:eastAsia="Calibri" w:cs="Arial"/>
          <w:szCs w:val="24"/>
        </w:rPr>
        <w:t>selon l’Office des personnes handicapées du Québec</w:t>
      </w:r>
      <w:r w:rsidR="002C48A8">
        <w:rPr>
          <w:rStyle w:val="FootnoteReference"/>
          <w:rFonts w:eastAsia="Calibri" w:cs="Arial"/>
          <w:szCs w:val="24"/>
        </w:rPr>
        <w:footnoteReference w:id="10"/>
      </w:r>
      <w:r w:rsidR="002C48A8">
        <w:rPr>
          <w:rFonts w:eastAsia="Calibri" w:cs="Arial"/>
          <w:szCs w:val="24"/>
        </w:rPr>
        <w:t xml:space="preserve">, </w:t>
      </w:r>
      <w:r w:rsidR="008A22BD">
        <w:rPr>
          <w:rFonts w:eastAsia="Calibri" w:cs="Arial"/>
          <w:szCs w:val="24"/>
        </w:rPr>
        <w:t>e</w:t>
      </w:r>
      <w:r w:rsidR="005179D1">
        <w:rPr>
          <w:rFonts w:eastAsia="Calibri" w:cs="Arial"/>
          <w:szCs w:val="24"/>
        </w:rPr>
        <w:t>n 2012, près de l</w:t>
      </w:r>
      <w:r w:rsidR="002E27E7">
        <w:rPr>
          <w:rFonts w:eastAsia="Calibri" w:cs="Arial"/>
          <w:szCs w:val="24"/>
        </w:rPr>
        <w:t xml:space="preserve">a moitié </w:t>
      </w:r>
      <w:r w:rsidR="005179D1">
        <w:rPr>
          <w:rFonts w:eastAsia="Calibri" w:cs="Arial"/>
          <w:szCs w:val="24"/>
        </w:rPr>
        <w:t>(</w:t>
      </w:r>
      <w:r w:rsidR="004A5CC4">
        <w:rPr>
          <w:rFonts w:eastAsia="Calibri" w:cs="Arial"/>
          <w:szCs w:val="24"/>
        </w:rPr>
        <w:t xml:space="preserve">environ </w:t>
      </w:r>
      <w:r w:rsidR="005179D1">
        <w:rPr>
          <w:rFonts w:eastAsia="Calibri" w:cs="Arial"/>
          <w:szCs w:val="24"/>
        </w:rPr>
        <w:t>47</w:t>
      </w:r>
      <w:r w:rsidR="00BB0B6F">
        <w:rPr>
          <w:rFonts w:eastAsia="Calibri" w:cs="Arial"/>
          <w:szCs w:val="24"/>
        </w:rPr>
        <w:t> %</w:t>
      </w:r>
      <w:r w:rsidR="005179D1">
        <w:rPr>
          <w:rFonts w:eastAsia="Calibri" w:cs="Arial"/>
          <w:szCs w:val="24"/>
        </w:rPr>
        <w:t xml:space="preserve">) </w:t>
      </w:r>
      <w:r w:rsidR="002E27E7">
        <w:rPr>
          <w:rFonts w:eastAsia="Calibri" w:cs="Arial"/>
          <w:szCs w:val="24"/>
        </w:rPr>
        <w:t xml:space="preserve">des </w:t>
      </w:r>
      <w:r w:rsidR="005179D1">
        <w:rPr>
          <w:rFonts w:eastAsia="Calibri" w:cs="Arial"/>
          <w:szCs w:val="24"/>
        </w:rPr>
        <w:t xml:space="preserve">personnes de 15 ans et plus </w:t>
      </w:r>
      <w:r w:rsidR="002E27E7">
        <w:rPr>
          <w:rFonts w:eastAsia="Calibri" w:cs="Arial"/>
          <w:szCs w:val="24"/>
        </w:rPr>
        <w:t xml:space="preserve">ayant une </w:t>
      </w:r>
      <w:r w:rsidR="002E27E7" w:rsidRPr="005C6238">
        <w:rPr>
          <w:rFonts w:eastAsia="Calibri" w:cs="Arial"/>
          <w:szCs w:val="24"/>
        </w:rPr>
        <w:t xml:space="preserve">incapacité </w:t>
      </w:r>
      <w:r w:rsidR="00795F7E" w:rsidRPr="005C6238">
        <w:rPr>
          <w:rFonts w:eastAsia="Calibri" w:cs="Arial"/>
          <w:szCs w:val="24"/>
        </w:rPr>
        <w:t xml:space="preserve">avaient </w:t>
      </w:r>
      <w:r w:rsidR="002E27E7" w:rsidRPr="005C6238">
        <w:rPr>
          <w:rFonts w:eastAsia="Calibri" w:cs="Arial"/>
          <w:szCs w:val="24"/>
        </w:rPr>
        <w:t xml:space="preserve">besoin d’aide pour </w:t>
      </w:r>
      <w:r w:rsidR="004A5CC4" w:rsidRPr="005C6238">
        <w:rPr>
          <w:rFonts w:eastAsia="Calibri" w:cs="Arial"/>
          <w:szCs w:val="24"/>
        </w:rPr>
        <w:t xml:space="preserve">effectuer les travaux ménagers courants, </w:t>
      </w:r>
      <w:r w:rsidR="00EC7946" w:rsidRPr="005C6238">
        <w:rPr>
          <w:rFonts w:eastAsia="Calibri" w:cs="Arial"/>
          <w:szCs w:val="24"/>
        </w:rPr>
        <w:t xml:space="preserve">et cette proportion </w:t>
      </w:r>
      <w:r w:rsidR="002B0EE4" w:rsidRPr="005C6238">
        <w:rPr>
          <w:rFonts w:eastAsia="Calibri" w:cs="Arial"/>
          <w:szCs w:val="24"/>
        </w:rPr>
        <w:t xml:space="preserve">s’élevait </w:t>
      </w:r>
      <w:r w:rsidR="00EC7946" w:rsidRPr="005C6238">
        <w:rPr>
          <w:rFonts w:eastAsia="Calibri" w:cs="Arial"/>
          <w:szCs w:val="24"/>
        </w:rPr>
        <w:t>à 56</w:t>
      </w:r>
      <w:r w:rsidR="00BB0B6F" w:rsidRPr="005C6238">
        <w:rPr>
          <w:rFonts w:eastAsia="Calibri" w:cs="Arial"/>
          <w:szCs w:val="24"/>
        </w:rPr>
        <w:t> %</w:t>
      </w:r>
      <w:r w:rsidR="00EC7946" w:rsidRPr="005C6238">
        <w:rPr>
          <w:rFonts w:eastAsia="Calibri" w:cs="Arial"/>
          <w:szCs w:val="24"/>
        </w:rPr>
        <w:t xml:space="preserve"> pour les personnes âgées de 65 ans et plus</w:t>
      </w:r>
      <w:r w:rsidR="00CF2925" w:rsidRPr="005C6238">
        <w:rPr>
          <w:rFonts w:eastAsia="Calibri" w:cs="Arial"/>
          <w:szCs w:val="24"/>
        </w:rPr>
        <w:t xml:space="preserve">. </w:t>
      </w:r>
      <w:r w:rsidR="002B0EE4" w:rsidRPr="005C6238">
        <w:rPr>
          <w:rFonts w:eastAsia="Calibri" w:cs="Arial"/>
          <w:szCs w:val="24"/>
        </w:rPr>
        <w:t>Au demeurant</w:t>
      </w:r>
      <w:r w:rsidR="001B44C0" w:rsidRPr="005C6238">
        <w:rPr>
          <w:rFonts w:eastAsia="Calibri" w:cs="Arial"/>
          <w:szCs w:val="24"/>
        </w:rPr>
        <w:t xml:space="preserve">, </w:t>
      </w:r>
      <w:r w:rsidR="004A5CC4" w:rsidRPr="005C6238">
        <w:rPr>
          <w:rFonts w:eastAsia="Calibri" w:cs="Arial"/>
          <w:szCs w:val="24"/>
        </w:rPr>
        <w:t xml:space="preserve">près de </w:t>
      </w:r>
      <w:r w:rsidR="002E27E7" w:rsidRPr="005C6238">
        <w:rPr>
          <w:rFonts w:eastAsia="Calibri" w:cs="Arial"/>
          <w:szCs w:val="24"/>
        </w:rPr>
        <w:t xml:space="preserve">la moitié </w:t>
      </w:r>
      <w:r w:rsidR="009E11B9" w:rsidRPr="005C6238">
        <w:rPr>
          <w:rFonts w:eastAsia="Calibri" w:cs="Arial"/>
          <w:szCs w:val="24"/>
        </w:rPr>
        <w:t xml:space="preserve">de ces personnes </w:t>
      </w:r>
      <w:r w:rsidR="00BB0B6F" w:rsidRPr="005C6238">
        <w:rPr>
          <w:rFonts w:eastAsia="Calibri" w:cs="Arial"/>
          <w:szCs w:val="24"/>
        </w:rPr>
        <w:t>(45,</w:t>
      </w:r>
      <w:r w:rsidR="004A5CC4" w:rsidRPr="005C6238">
        <w:rPr>
          <w:rFonts w:eastAsia="Calibri" w:cs="Arial"/>
          <w:szCs w:val="24"/>
        </w:rPr>
        <w:t>5</w:t>
      </w:r>
      <w:r w:rsidR="00BB0B6F" w:rsidRPr="005C6238">
        <w:rPr>
          <w:rFonts w:eastAsia="Calibri" w:cs="Arial"/>
          <w:szCs w:val="24"/>
        </w:rPr>
        <w:t> %</w:t>
      </w:r>
      <w:r w:rsidR="004A5CC4" w:rsidRPr="005C6238">
        <w:rPr>
          <w:rFonts w:eastAsia="Calibri" w:cs="Arial"/>
          <w:szCs w:val="24"/>
        </w:rPr>
        <w:t xml:space="preserve">) </w:t>
      </w:r>
      <w:r w:rsidR="00795F7E" w:rsidRPr="005C6238">
        <w:rPr>
          <w:rFonts w:eastAsia="Calibri" w:cs="Arial"/>
          <w:szCs w:val="24"/>
        </w:rPr>
        <w:t xml:space="preserve">déclaraient </w:t>
      </w:r>
      <w:r w:rsidR="002E27E7" w:rsidRPr="005C6238">
        <w:rPr>
          <w:rFonts w:eastAsia="Calibri" w:cs="Arial"/>
          <w:szCs w:val="24"/>
        </w:rPr>
        <w:t xml:space="preserve">ne </w:t>
      </w:r>
      <w:r w:rsidR="004A5CC4" w:rsidRPr="005C6238">
        <w:rPr>
          <w:rFonts w:eastAsia="Calibri" w:cs="Arial"/>
          <w:szCs w:val="24"/>
        </w:rPr>
        <w:t xml:space="preserve">pas recevoir </w:t>
      </w:r>
      <w:r w:rsidR="00795F7E" w:rsidRPr="005C6238">
        <w:rPr>
          <w:rFonts w:eastAsia="Calibri" w:cs="Arial"/>
          <w:szCs w:val="24"/>
        </w:rPr>
        <w:t xml:space="preserve">toute </w:t>
      </w:r>
      <w:r w:rsidR="002E27E7" w:rsidRPr="005C6238">
        <w:rPr>
          <w:rFonts w:eastAsia="Calibri" w:cs="Arial"/>
          <w:szCs w:val="24"/>
        </w:rPr>
        <w:t>l’aide</w:t>
      </w:r>
      <w:r w:rsidR="00795F7E" w:rsidRPr="005C6238">
        <w:rPr>
          <w:rFonts w:eastAsia="Calibri" w:cs="Arial"/>
          <w:szCs w:val="24"/>
        </w:rPr>
        <w:t xml:space="preserve"> nécess</w:t>
      </w:r>
      <w:r w:rsidR="00795F7E">
        <w:rPr>
          <w:rFonts w:eastAsia="Calibri" w:cs="Arial"/>
          <w:szCs w:val="24"/>
        </w:rPr>
        <w:t>aire</w:t>
      </w:r>
      <w:r w:rsidR="002E27E7" w:rsidRPr="00115AC4">
        <w:rPr>
          <w:rFonts w:eastAsia="Calibri" w:cs="Arial"/>
          <w:szCs w:val="24"/>
        </w:rPr>
        <w:t>.</w:t>
      </w:r>
      <w:r w:rsidR="00F951C9">
        <w:rPr>
          <w:rFonts w:eastAsia="Calibri" w:cs="Arial"/>
          <w:szCs w:val="24"/>
        </w:rPr>
        <w:t xml:space="preserve"> De même, près des </w:t>
      </w:r>
      <w:r w:rsidR="00BB0B6F">
        <w:rPr>
          <w:rFonts w:eastAsia="Calibri" w:cs="Arial"/>
          <w:szCs w:val="24"/>
        </w:rPr>
        <w:t>deux tiers</w:t>
      </w:r>
      <w:r w:rsidR="00F951C9">
        <w:rPr>
          <w:rFonts w:eastAsia="Calibri" w:cs="Arial"/>
          <w:szCs w:val="24"/>
        </w:rPr>
        <w:t xml:space="preserve"> des personnes ayant une incapacité avaient besoin d’aide pour </w:t>
      </w:r>
      <w:r w:rsidR="00F951C9">
        <w:rPr>
          <w:rFonts w:eastAsia="Calibri" w:cs="Arial"/>
          <w:szCs w:val="24"/>
        </w:rPr>
        <w:lastRenderedPageBreak/>
        <w:t xml:space="preserve">effectuer les gros travaux ménagers </w:t>
      </w:r>
      <w:r w:rsidR="00F14AB7">
        <w:rPr>
          <w:rFonts w:eastAsia="Calibri" w:cs="Arial"/>
          <w:szCs w:val="24"/>
        </w:rPr>
        <w:t xml:space="preserve">(ex. : </w:t>
      </w:r>
      <w:r w:rsidR="00F951C9">
        <w:rPr>
          <w:rFonts w:eastAsia="Calibri" w:cs="Arial"/>
          <w:szCs w:val="24"/>
        </w:rPr>
        <w:t>déneigement</w:t>
      </w:r>
      <w:r w:rsidR="004B7085">
        <w:rPr>
          <w:rFonts w:eastAsia="Calibri" w:cs="Arial"/>
          <w:szCs w:val="24"/>
        </w:rPr>
        <w:t xml:space="preserve"> de leur entrée</w:t>
      </w:r>
      <w:r w:rsidR="00F14AB7">
        <w:rPr>
          <w:rFonts w:eastAsia="Calibri" w:cs="Arial"/>
          <w:szCs w:val="24"/>
        </w:rPr>
        <w:t xml:space="preserve">), </w:t>
      </w:r>
      <w:r w:rsidR="002A5625">
        <w:rPr>
          <w:rFonts w:eastAsia="Calibri" w:cs="Arial"/>
          <w:szCs w:val="24"/>
        </w:rPr>
        <w:t>s</w:t>
      </w:r>
      <w:r w:rsidR="00AC65F5">
        <w:rPr>
          <w:rFonts w:eastAsia="Calibri" w:cs="Arial"/>
          <w:szCs w:val="24"/>
        </w:rPr>
        <w:t xml:space="preserve">oit </w:t>
      </w:r>
      <w:r w:rsidR="002A5625">
        <w:rPr>
          <w:rFonts w:eastAsia="Calibri" w:cs="Arial"/>
          <w:szCs w:val="24"/>
        </w:rPr>
        <w:t xml:space="preserve">près de </w:t>
      </w:r>
      <w:r w:rsidR="00AC65F5">
        <w:rPr>
          <w:rFonts w:eastAsia="Calibri" w:cs="Arial"/>
          <w:szCs w:val="24"/>
        </w:rPr>
        <w:t>59</w:t>
      </w:r>
      <w:r w:rsidR="00BB0B6F">
        <w:rPr>
          <w:rFonts w:eastAsia="Calibri" w:cs="Arial"/>
          <w:szCs w:val="24"/>
        </w:rPr>
        <w:t> %</w:t>
      </w:r>
      <w:r w:rsidR="00AC65F5">
        <w:rPr>
          <w:rFonts w:eastAsia="Calibri" w:cs="Arial"/>
          <w:szCs w:val="24"/>
        </w:rPr>
        <w:t xml:space="preserve"> des 15 ans et plus</w:t>
      </w:r>
      <w:r w:rsidR="002A5625">
        <w:rPr>
          <w:rFonts w:eastAsia="Calibri" w:cs="Arial"/>
          <w:szCs w:val="24"/>
        </w:rPr>
        <w:t>,</w:t>
      </w:r>
      <w:r w:rsidR="00AC65F5">
        <w:rPr>
          <w:rFonts w:eastAsia="Calibri" w:cs="Arial"/>
          <w:szCs w:val="24"/>
        </w:rPr>
        <w:t xml:space="preserve"> et </w:t>
      </w:r>
      <w:r w:rsidR="004B7085">
        <w:rPr>
          <w:rFonts w:eastAsia="Calibri" w:cs="Arial"/>
          <w:szCs w:val="24"/>
        </w:rPr>
        <w:t>environ 6</w:t>
      </w:r>
      <w:r w:rsidR="00F951C9">
        <w:rPr>
          <w:rFonts w:eastAsia="Calibri" w:cs="Arial"/>
          <w:szCs w:val="24"/>
        </w:rPr>
        <w:t>6</w:t>
      </w:r>
      <w:r w:rsidR="00BB0B6F">
        <w:rPr>
          <w:rFonts w:eastAsia="Calibri" w:cs="Arial"/>
          <w:szCs w:val="24"/>
        </w:rPr>
        <w:t> %</w:t>
      </w:r>
      <w:r w:rsidR="00F951C9">
        <w:rPr>
          <w:rFonts w:eastAsia="Calibri" w:cs="Arial"/>
          <w:szCs w:val="24"/>
        </w:rPr>
        <w:t xml:space="preserve"> </w:t>
      </w:r>
      <w:r w:rsidR="002A5625">
        <w:rPr>
          <w:rFonts w:eastAsia="Calibri" w:cs="Arial"/>
          <w:szCs w:val="24"/>
        </w:rPr>
        <w:t>d</w:t>
      </w:r>
      <w:r w:rsidR="00F951C9">
        <w:rPr>
          <w:rFonts w:eastAsia="Calibri" w:cs="Arial"/>
          <w:szCs w:val="24"/>
        </w:rPr>
        <w:t xml:space="preserve">es 65 ans et plus. </w:t>
      </w:r>
    </w:p>
    <w:p w14:paraId="2B5BA5D3" w14:textId="74CD89EE" w:rsidR="008E10FD" w:rsidRDefault="00C63DA8" w:rsidP="008E10FD">
      <w:r>
        <w:t>Enfin</w:t>
      </w:r>
      <w:r w:rsidR="000218DF">
        <w:t>, en 2012, plus de 45</w:t>
      </w:r>
      <w:r w:rsidR="00BB0B6F">
        <w:t> %</w:t>
      </w:r>
      <w:r w:rsidR="000218DF">
        <w:t xml:space="preserve"> des personnes ayant des incapacités vivaient en appartement, dont 6</w:t>
      </w:r>
      <w:r w:rsidR="00BB0B6F">
        <w:t>,</w:t>
      </w:r>
      <w:r w:rsidR="000218DF">
        <w:t>3 </w:t>
      </w:r>
      <w:r w:rsidR="00BB0B6F">
        <w:t>%</w:t>
      </w:r>
      <w:r w:rsidR="00984D6C">
        <w:t xml:space="preserve"> dans des immeubles de cinq</w:t>
      </w:r>
      <w:r w:rsidR="000218DF">
        <w:t xml:space="preserve"> étages et plus, 29</w:t>
      </w:r>
      <w:r w:rsidR="00BB0B6F">
        <w:t>,</w:t>
      </w:r>
      <w:r w:rsidR="00984D6C">
        <w:t>9</w:t>
      </w:r>
      <w:r w:rsidR="00BB0B6F">
        <w:t> %</w:t>
      </w:r>
      <w:r w:rsidR="000218DF">
        <w:t xml:space="preserve"> </w:t>
      </w:r>
      <w:r w:rsidR="00984D6C">
        <w:t>dans des immeubles de moins de cinq</w:t>
      </w:r>
      <w:r w:rsidR="000218DF">
        <w:t xml:space="preserve"> étages, et 9 </w:t>
      </w:r>
      <w:r w:rsidR="00BB0B6F">
        <w:t>%</w:t>
      </w:r>
      <w:r w:rsidR="000218DF">
        <w:t xml:space="preserve"> dans un duplex</w:t>
      </w:r>
      <w:r w:rsidR="000218DF">
        <w:rPr>
          <w:rStyle w:val="FootnoteReference"/>
        </w:rPr>
        <w:footnoteReference w:id="11"/>
      </w:r>
      <w:r w:rsidR="000218DF">
        <w:t xml:space="preserve">. </w:t>
      </w:r>
      <w:r w:rsidR="006D6474">
        <w:t xml:space="preserve">Les personnes aînées, quant à elles, dans une proportion de 9/10, résident dans un domicile traditionnel, soit un condo, une maison ou </w:t>
      </w:r>
      <w:r w:rsidR="0000728E">
        <w:t xml:space="preserve">un appartement. </w:t>
      </w:r>
      <w:r w:rsidR="009F78F3">
        <w:t xml:space="preserve">Plus précisément, 25,5 % </w:t>
      </w:r>
      <w:r w:rsidR="00E93E75">
        <w:t xml:space="preserve">d’entre elles </w:t>
      </w:r>
      <w:r w:rsidR="00226F92">
        <w:t>résident dans un immeuble de quatre</w:t>
      </w:r>
      <w:r w:rsidR="009F78F3">
        <w:t xml:space="preserve"> étages ou plus, </w:t>
      </w:r>
      <w:r w:rsidR="00210E6D">
        <w:t>29,2 </w:t>
      </w:r>
      <w:r w:rsidR="00226F92">
        <w:t>% dans un immeuble de moins de quatre</w:t>
      </w:r>
      <w:r w:rsidR="00210E6D">
        <w:t xml:space="preserve"> étages,</w:t>
      </w:r>
      <w:r w:rsidR="00226F92">
        <w:t xml:space="preserve"> et 21,6 % dans un immeuble de deux ou trois</w:t>
      </w:r>
      <w:r w:rsidR="00210E6D">
        <w:t xml:space="preserve"> logements</w:t>
      </w:r>
      <w:r w:rsidR="0047684B">
        <w:rPr>
          <w:rStyle w:val="FootnoteReference"/>
        </w:rPr>
        <w:footnoteReference w:id="12"/>
      </w:r>
      <w:r w:rsidR="00210E6D">
        <w:t xml:space="preserve">. </w:t>
      </w:r>
    </w:p>
    <w:p w14:paraId="2EC0F2B5" w14:textId="07779B16" w:rsidR="00D138EE" w:rsidRDefault="001131FC" w:rsidP="00D138EE">
      <w:pPr>
        <w:rPr>
          <w:rFonts w:eastAsia="Calibri" w:cs="Arial"/>
          <w:szCs w:val="24"/>
        </w:rPr>
      </w:pPr>
      <w:r>
        <w:rPr>
          <w:rFonts w:eastAsia="Calibri" w:cs="Arial"/>
          <w:szCs w:val="24"/>
        </w:rPr>
        <w:t>Finalement</w:t>
      </w:r>
      <w:r w:rsidR="00D138EE">
        <w:rPr>
          <w:rFonts w:eastAsia="Calibri" w:cs="Arial"/>
          <w:szCs w:val="24"/>
        </w:rPr>
        <w:t>, e</w:t>
      </w:r>
      <w:r w:rsidR="00D138EE" w:rsidRPr="00115AC4">
        <w:rPr>
          <w:rFonts w:eastAsia="Calibri" w:cs="Arial"/>
          <w:szCs w:val="24"/>
        </w:rPr>
        <w:t>n 2018</w:t>
      </w:r>
      <w:r w:rsidR="00D138EE">
        <w:rPr>
          <w:rFonts w:eastAsia="Calibri" w:cs="Arial"/>
          <w:szCs w:val="24"/>
        </w:rPr>
        <w:t>,</w:t>
      </w:r>
      <w:r w:rsidR="00D138EE" w:rsidRPr="00115AC4">
        <w:rPr>
          <w:rFonts w:eastAsia="Calibri" w:cs="Arial"/>
          <w:szCs w:val="24"/>
        </w:rPr>
        <w:t xml:space="preserve"> dans la Région </w:t>
      </w:r>
      <w:r w:rsidR="00D138EE">
        <w:rPr>
          <w:rFonts w:eastAsia="Calibri" w:cs="Arial"/>
          <w:szCs w:val="24"/>
        </w:rPr>
        <w:t xml:space="preserve">de </w:t>
      </w:r>
      <w:r w:rsidR="00D138EE" w:rsidRPr="00115AC4">
        <w:rPr>
          <w:rFonts w:eastAsia="Calibri" w:cs="Arial"/>
          <w:szCs w:val="24"/>
        </w:rPr>
        <w:t xml:space="preserve">Montréal, </w:t>
      </w:r>
      <w:r w:rsidR="00D138EE">
        <w:rPr>
          <w:rFonts w:eastAsia="Calibri" w:cs="Arial"/>
          <w:szCs w:val="24"/>
        </w:rPr>
        <w:t xml:space="preserve">92 % des adultes </w:t>
      </w:r>
      <w:r w:rsidR="00D138EE" w:rsidRPr="00115AC4">
        <w:rPr>
          <w:rFonts w:eastAsia="Calibri" w:cs="Arial"/>
          <w:szCs w:val="24"/>
        </w:rPr>
        <w:t>dispos</w:t>
      </w:r>
      <w:r w:rsidR="00D138EE">
        <w:rPr>
          <w:rFonts w:eastAsia="Calibri" w:cs="Arial"/>
          <w:szCs w:val="24"/>
        </w:rPr>
        <w:t>ai</w:t>
      </w:r>
      <w:r w:rsidR="00D138EE" w:rsidRPr="00115AC4">
        <w:rPr>
          <w:rFonts w:eastAsia="Calibri" w:cs="Arial"/>
          <w:szCs w:val="24"/>
        </w:rPr>
        <w:t xml:space="preserve">ent d’un </w:t>
      </w:r>
      <w:r w:rsidR="00D138EE" w:rsidRPr="0065062A">
        <w:rPr>
          <w:rFonts w:eastAsia="Calibri" w:cs="Arial"/>
          <w:szCs w:val="24"/>
        </w:rPr>
        <w:t>accès à Internet</w:t>
      </w:r>
      <w:r w:rsidR="00D138EE" w:rsidRPr="00115AC4">
        <w:rPr>
          <w:rFonts w:eastAsia="Calibri" w:cs="Arial"/>
          <w:szCs w:val="24"/>
        </w:rPr>
        <w:t xml:space="preserve"> à la maison</w:t>
      </w:r>
      <w:r w:rsidR="00D138EE">
        <w:rPr>
          <w:rStyle w:val="FootnoteReference"/>
          <w:rFonts w:eastAsia="Calibri" w:cs="Arial"/>
          <w:szCs w:val="24"/>
        </w:rPr>
        <w:footnoteReference w:id="13"/>
      </w:r>
      <w:r w:rsidR="00D138EE">
        <w:rPr>
          <w:rFonts w:eastAsia="Calibri" w:cs="Arial"/>
          <w:szCs w:val="24"/>
        </w:rPr>
        <w:t xml:space="preserve">, contre </w:t>
      </w:r>
      <w:r w:rsidR="00D138EE" w:rsidRPr="00115AC4">
        <w:rPr>
          <w:rFonts w:eastAsia="Calibri" w:cs="Arial"/>
          <w:szCs w:val="24"/>
        </w:rPr>
        <w:t>80</w:t>
      </w:r>
      <w:r w:rsidR="00D138EE">
        <w:rPr>
          <w:rFonts w:eastAsia="Calibri" w:cs="Arial"/>
          <w:szCs w:val="24"/>
        </w:rPr>
        <w:t> %</w:t>
      </w:r>
      <w:r w:rsidR="00D138EE" w:rsidRPr="00115AC4">
        <w:rPr>
          <w:rFonts w:eastAsia="Calibri" w:cs="Arial"/>
          <w:szCs w:val="24"/>
        </w:rPr>
        <w:t xml:space="preserve"> </w:t>
      </w:r>
      <w:r w:rsidR="00D138EE">
        <w:rPr>
          <w:rFonts w:eastAsia="Calibri" w:cs="Arial"/>
          <w:szCs w:val="24"/>
        </w:rPr>
        <w:t>d</w:t>
      </w:r>
      <w:r w:rsidR="00D138EE" w:rsidRPr="00115AC4">
        <w:rPr>
          <w:rFonts w:eastAsia="Calibri" w:cs="Arial"/>
          <w:szCs w:val="24"/>
        </w:rPr>
        <w:t xml:space="preserve">es 65 </w:t>
      </w:r>
      <w:r w:rsidR="00D138EE">
        <w:rPr>
          <w:rFonts w:eastAsia="Calibri" w:cs="Arial"/>
          <w:szCs w:val="24"/>
        </w:rPr>
        <w:t>ans et plus</w:t>
      </w:r>
      <w:r w:rsidR="00D138EE" w:rsidRPr="00115AC4">
        <w:rPr>
          <w:rFonts w:eastAsia="Calibri" w:cs="Arial"/>
          <w:szCs w:val="24"/>
          <w:vertAlign w:val="superscript"/>
        </w:rPr>
        <w:footnoteReference w:id="14"/>
      </w:r>
      <w:r w:rsidR="00D138EE">
        <w:rPr>
          <w:rFonts w:eastAsia="Calibri" w:cs="Arial"/>
          <w:szCs w:val="24"/>
        </w:rPr>
        <w:t>. De même, 92 % des adultes montréalais utilisaient Internet sur une base régulière, soit au moins une fois par semaine</w:t>
      </w:r>
      <w:r w:rsidR="00D138EE">
        <w:rPr>
          <w:rStyle w:val="FootnoteReference"/>
          <w:rFonts w:eastAsia="Calibri" w:cs="Arial"/>
          <w:szCs w:val="24"/>
        </w:rPr>
        <w:footnoteReference w:id="15"/>
      </w:r>
      <w:r w:rsidR="00D138EE">
        <w:rPr>
          <w:rFonts w:eastAsia="Calibri" w:cs="Arial"/>
          <w:szCs w:val="24"/>
        </w:rPr>
        <w:t>, contre 75 % pour les 65 ans et plus</w:t>
      </w:r>
      <w:r w:rsidR="00D138EE">
        <w:rPr>
          <w:rStyle w:val="FootnoteReference"/>
          <w:rFonts w:eastAsia="Calibri" w:cs="Arial"/>
          <w:szCs w:val="24"/>
        </w:rPr>
        <w:footnoteReference w:id="16"/>
      </w:r>
      <w:r w:rsidR="00D138EE">
        <w:rPr>
          <w:rFonts w:eastAsia="Calibri" w:cs="Arial"/>
          <w:szCs w:val="24"/>
        </w:rPr>
        <w:t>. De plus, 74 % des adultes montréalais possédaient un téléphone intelligent, 55 % une tablette et 83 % un ordinateur</w:t>
      </w:r>
      <w:r w:rsidR="00D138EE">
        <w:rPr>
          <w:rStyle w:val="FootnoteReference"/>
          <w:rFonts w:eastAsia="Calibri" w:cs="Arial"/>
          <w:szCs w:val="24"/>
        </w:rPr>
        <w:footnoteReference w:id="17"/>
      </w:r>
      <w:r w:rsidR="00D138EE">
        <w:rPr>
          <w:rFonts w:eastAsia="Calibri" w:cs="Arial"/>
          <w:szCs w:val="24"/>
        </w:rPr>
        <w:t>, contre respectivement 39 %, 57 % et 70 % pour les 65 ans et plus</w:t>
      </w:r>
      <w:r w:rsidR="00D138EE">
        <w:rPr>
          <w:rStyle w:val="FootnoteReference"/>
          <w:rFonts w:eastAsia="Calibri" w:cs="Arial"/>
          <w:szCs w:val="24"/>
        </w:rPr>
        <w:footnoteReference w:id="18"/>
      </w:r>
      <w:r w:rsidR="00D138EE">
        <w:rPr>
          <w:rFonts w:eastAsia="Calibri" w:cs="Arial"/>
          <w:szCs w:val="24"/>
        </w:rPr>
        <w:t xml:space="preserve">. </w:t>
      </w:r>
    </w:p>
    <w:p w14:paraId="75F5570E" w14:textId="77777777" w:rsidR="00BB7B65" w:rsidRDefault="00F56D85" w:rsidP="003049CD">
      <w:pPr>
        <w:pStyle w:val="Heading1"/>
      </w:pPr>
      <w:bookmarkStart w:id="19" w:name="_Toc30437414"/>
      <w:r>
        <w:t>Communications et accès à l’information</w:t>
      </w:r>
      <w:bookmarkEnd w:id="19"/>
      <w:r w:rsidR="00ED02EA">
        <w:t xml:space="preserve"> </w:t>
      </w:r>
    </w:p>
    <w:p w14:paraId="6019B842" w14:textId="08E041B1" w:rsidR="00CB48E1" w:rsidRDefault="00577DA3" w:rsidP="00ED02EA">
      <w:bookmarkStart w:id="20" w:name="OLE_LINK5"/>
      <w:bookmarkStart w:id="21" w:name="OLE_LINK6"/>
      <w:r>
        <w:t xml:space="preserve">La réalisation </w:t>
      </w:r>
      <w:r w:rsidR="00DD72D3">
        <w:t>d’une grande partie des actions présentées dans le Plan dépendra largement de la qualité des communications de la Ville, et de sa capacité à transmettre l</w:t>
      </w:r>
      <w:r w:rsidR="00EA6113">
        <w:t xml:space="preserve">es </w:t>
      </w:r>
      <w:r w:rsidR="00DD72D3">
        <w:t>information</w:t>
      </w:r>
      <w:r w:rsidR="00EA6113">
        <w:t>s</w:t>
      </w:r>
      <w:r w:rsidR="00DD72D3">
        <w:t xml:space="preserve"> aux citoyens</w:t>
      </w:r>
      <w:r w:rsidR="00A07495">
        <w:t xml:space="preserve"> et citoyennes</w:t>
      </w:r>
      <w:r w:rsidR="00984D6C">
        <w:t>. C’est pourquoi</w:t>
      </w:r>
      <w:r>
        <w:t xml:space="preserve"> la Ville devra veiller à ce que toute l’information </w:t>
      </w:r>
      <w:r w:rsidR="00161B10">
        <w:t xml:space="preserve">produite </w:t>
      </w:r>
      <w:r>
        <w:t xml:space="preserve">soit inclusive, </w:t>
      </w:r>
      <w:r w:rsidR="00161B10">
        <w:t xml:space="preserve">afin qu’elle puisse être connue, consultée et comprise par </w:t>
      </w:r>
      <w:r w:rsidR="00984D6C">
        <w:t xml:space="preserve">tous les </w:t>
      </w:r>
      <w:r w:rsidR="006D0492">
        <w:t>montréalais</w:t>
      </w:r>
      <w:r w:rsidR="00182519">
        <w:t xml:space="preserve"> et montréalaises</w:t>
      </w:r>
      <w:r w:rsidR="00161B10">
        <w:t>, quel</w:t>
      </w:r>
      <w:r w:rsidR="00CB3AD6">
        <w:t>s</w:t>
      </w:r>
      <w:r w:rsidR="00161B10">
        <w:t xml:space="preserve"> que soi</w:t>
      </w:r>
      <w:r w:rsidR="00CB3AD6">
        <w:t>en</w:t>
      </w:r>
      <w:r w:rsidR="00161B10">
        <w:t xml:space="preserve">t leur niveau de </w:t>
      </w:r>
      <w:r w:rsidR="00EA6113">
        <w:t xml:space="preserve">compétence en </w:t>
      </w:r>
      <w:r w:rsidR="00161B10">
        <w:t>littératie</w:t>
      </w:r>
      <w:r w:rsidR="00460B22">
        <w:rPr>
          <w:rStyle w:val="FootnoteReference"/>
        </w:rPr>
        <w:footnoteReference w:id="19"/>
      </w:r>
      <w:r w:rsidR="00161B10">
        <w:t xml:space="preserve">, </w:t>
      </w:r>
      <w:r w:rsidR="00182519">
        <w:t>leur âge,</w:t>
      </w:r>
      <w:r w:rsidR="00CB3AD6">
        <w:t xml:space="preserve"> </w:t>
      </w:r>
      <w:r w:rsidR="005E181E">
        <w:t>leurs</w:t>
      </w:r>
      <w:r w:rsidR="00CB48E1">
        <w:t xml:space="preserve"> incapacités</w:t>
      </w:r>
      <w:r w:rsidR="00182519">
        <w:t xml:space="preserve"> ou </w:t>
      </w:r>
      <w:r w:rsidR="00182519" w:rsidRPr="00182519">
        <w:t>les</w:t>
      </w:r>
      <w:r w:rsidR="00182519">
        <w:t xml:space="preserve"> moyens utilisés pour y accéder.</w:t>
      </w:r>
    </w:p>
    <w:bookmarkEnd w:id="20"/>
    <w:bookmarkEnd w:id="21"/>
    <w:p w14:paraId="55BEA5B3" w14:textId="15E08B9F" w:rsidR="00700697" w:rsidRPr="00ED02EA" w:rsidRDefault="00F95038" w:rsidP="00700697">
      <w:r>
        <w:lastRenderedPageBreak/>
        <w:t>En effet, s</w:t>
      </w:r>
      <w:r w:rsidR="00700697">
        <w:t xml:space="preserve">elon le </w:t>
      </w:r>
      <w:r w:rsidR="00297765" w:rsidRPr="00F00582">
        <w:t>M</w:t>
      </w:r>
      <w:r w:rsidR="00700697" w:rsidRPr="00F00582">
        <w:t xml:space="preserve">odèle </w:t>
      </w:r>
      <w:r w:rsidR="00297765" w:rsidRPr="00F00582">
        <w:t xml:space="preserve">de développement humain - </w:t>
      </w:r>
      <w:r w:rsidR="00700697" w:rsidRPr="00F00582">
        <w:t>Processus de production du handicap (</w:t>
      </w:r>
      <w:r w:rsidR="00297765" w:rsidRPr="00F00582">
        <w:t>MDH-</w:t>
      </w:r>
      <w:r w:rsidR="00700697" w:rsidRPr="00F00582">
        <w:t>PPH)</w:t>
      </w:r>
      <w:r w:rsidR="009F76F1" w:rsidRPr="009F76F1">
        <w:rPr>
          <w:rStyle w:val="FootnoteReference"/>
        </w:rPr>
        <w:t xml:space="preserve"> </w:t>
      </w:r>
      <w:r w:rsidR="009F76F1">
        <w:rPr>
          <w:rStyle w:val="FootnoteReference"/>
        </w:rPr>
        <w:footnoteReference w:id="20"/>
      </w:r>
      <w:r w:rsidR="00700697">
        <w:t>, l'</w:t>
      </w:r>
      <w:r w:rsidR="00700697" w:rsidRPr="00297765">
        <w:t>habitude de vie</w:t>
      </w:r>
      <w:r w:rsidR="00700697">
        <w:t xml:space="preserve"> relative aux communications des personnes ayant des limitations fonctionnelles comprend la communication orale et corporelle, la communication écrite, la télécommunication et</w:t>
      </w:r>
      <w:r w:rsidR="00297765">
        <w:t xml:space="preserve"> </w:t>
      </w:r>
      <w:r w:rsidR="00700697">
        <w:t>la signalisation.</w:t>
      </w:r>
      <w:r w:rsidR="005A5407">
        <w:t xml:space="preserve"> </w:t>
      </w:r>
    </w:p>
    <w:p w14:paraId="0DE7A92F" w14:textId="77777777" w:rsidR="00007A1C" w:rsidRDefault="00C41E2B" w:rsidP="00007A1C">
      <w:pPr>
        <w:pStyle w:val="Heading2"/>
      </w:pPr>
      <w:bookmarkStart w:id="22" w:name="_Toc30437415"/>
      <w:r>
        <w:t>Accès à l’information</w:t>
      </w:r>
      <w:bookmarkEnd w:id="22"/>
      <w:r>
        <w:t xml:space="preserve"> </w:t>
      </w:r>
    </w:p>
    <w:p w14:paraId="0B522BCC" w14:textId="6F0C040F" w:rsidR="00C41E2B" w:rsidRDefault="00974EFC" w:rsidP="00786D6F">
      <w:r>
        <w:t xml:space="preserve">L’information </w:t>
      </w:r>
      <w:r w:rsidR="00182519">
        <w:t>concernant</w:t>
      </w:r>
      <w:r>
        <w:t xml:space="preserve"> </w:t>
      </w:r>
      <w:r w:rsidR="00AD6227">
        <w:t xml:space="preserve">les jours et </w:t>
      </w:r>
      <w:r>
        <w:t>la fréquence de tous les services de collecte</w:t>
      </w:r>
      <w:r w:rsidR="00406CF0">
        <w:t xml:space="preserve">, sur les heures et lieux de dépôt, </w:t>
      </w:r>
      <w:r>
        <w:t>(ex. :</w:t>
      </w:r>
      <w:r w:rsidR="00DB0E67">
        <w:t xml:space="preserve"> résidus alimentaires</w:t>
      </w:r>
      <w:r w:rsidR="00DE5932">
        <w:t xml:space="preserve">, </w:t>
      </w:r>
      <w:r w:rsidR="00AD6227">
        <w:t>matières recyclables</w:t>
      </w:r>
      <w:r w:rsidR="00DE5932">
        <w:t xml:space="preserve">, </w:t>
      </w:r>
      <w:r w:rsidR="00AD6227">
        <w:t>ordures ménagères</w:t>
      </w:r>
      <w:r>
        <w:t>), ainsi que sur l</w:t>
      </w:r>
      <w:r w:rsidR="00C41E2B">
        <w:t>a nature d</w:t>
      </w:r>
      <w:r>
        <w:t>es matières récupérées</w:t>
      </w:r>
      <w:r w:rsidR="00DE5932">
        <w:t xml:space="preserve"> (ex. : résidus domestiques dangereux</w:t>
      </w:r>
      <w:r w:rsidR="009C6112">
        <w:t xml:space="preserve">, </w:t>
      </w:r>
      <w:r w:rsidR="009C6112" w:rsidRPr="009C6112">
        <w:t>résidus de construction, de rénovation et de démolition (CRD) et encombrants</w:t>
      </w:r>
      <w:r w:rsidR="00DE5932">
        <w:t>)</w:t>
      </w:r>
      <w:r>
        <w:t xml:space="preserve">, </w:t>
      </w:r>
      <w:r w:rsidR="00897880">
        <w:t xml:space="preserve">doit </w:t>
      </w:r>
      <w:r>
        <w:t xml:space="preserve">être claire et disponible en tout temps, </w:t>
      </w:r>
      <w:r w:rsidR="00E667A1">
        <w:t xml:space="preserve">dans </w:t>
      </w:r>
      <w:r>
        <w:t>différents formats.</w:t>
      </w:r>
      <w:r w:rsidR="00D06484">
        <w:t xml:space="preserve"> Au demeurant, pouvoir accéder à l’information par différents moyens </w:t>
      </w:r>
      <w:r w:rsidR="00786D6F" w:rsidRPr="00DA24A5">
        <w:t xml:space="preserve">est particulièrement important lors de </w:t>
      </w:r>
      <w:r w:rsidR="00E168F1">
        <w:t>modifications (ex. : jours fériés)</w:t>
      </w:r>
      <w:r w:rsidR="00273B97">
        <w:t xml:space="preserve">, afin d’éviter des conséquences fâcheuses pour les citoyens </w:t>
      </w:r>
      <w:r w:rsidR="00735269">
        <w:t xml:space="preserve">qui ne pourraient </w:t>
      </w:r>
      <w:r w:rsidR="007F2536">
        <w:t xml:space="preserve">consulter une </w:t>
      </w:r>
      <w:r w:rsidR="00A25418">
        <w:t xml:space="preserve">information </w:t>
      </w:r>
      <w:r w:rsidR="007F2536">
        <w:t xml:space="preserve">disponible </w:t>
      </w:r>
      <w:r w:rsidR="00A25418">
        <w:t xml:space="preserve">dans </w:t>
      </w:r>
      <w:r w:rsidR="007F2536">
        <w:t xml:space="preserve">un </w:t>
      </w:r>
      <w:r w:rsidR="00735269">
        <w:t xml:space="preserve">seul </w:t>
      </w:r>
      <w:r w:rsidR="00A25418">
        <w:t>format</w:t>
      </w:r>
      <w:r w:rsidR="00786D6F" w:rsidRPr="00DA24A5">
        <w:t>.</w:t>
      </w:r>
      <w:r w:rsidR="00A60F07">
        <w:t xml:space="preserve"> De fait</w:t>
      </w:r>
      <w:r w:rsidR="00786D6F" w:rsidRPr="00DA24A5">
        <w:t xml:space="preserve">, </w:t>
      </w:r>
      <w:r w:rsidR="00735269">
        <w:t>nous avons appris qu’</w:t>
      </w:r>
      <w:r w:rsidR="00E168F1">
        <w:t>une personne aveugle, faute d’avoir été capable de prendre connaissance</w:t>
      </w:r>
      <w:r w:rsidR="00E5305B">
        <w:t xml:space="preserve"> d</w:t>
      </w:r>
      <w:r w:rsidR="00112010">
        <w:t>’une modification d</w:t>
      </w:r>
      <w:r w:rsidR="00E5305B">
        <w:t>u jour de la collecte</w:t>
      </w:r>
      <w:r w:rsidR="00E168F1">
        <w:t xml:space="preserve">, </w:t>
      </w:r>
      <w:r w:rsidR="00CD23CE">
        <w:t xml:space="preserve">signalé </w:t>
      </w:r>
      <w:r w:rsidR="00E168F1">
        <w:t xml:space="preserve">uniquement dans un document téléchargeable </w:t>
      </w:r>
      <w:r w:rsidR="00C41E2B">
        <w:t xml:space="preserve">(PDF) </w:t>
      </w:r>
      <w:r w:rsidR="00E168F1">
        <w:t xml:space="preserve">inaccessible, </w:t>
      </w:r>
      <w:r w:rsidR="00786D6F" w:rsidRPr="00DA24A5">
        <w:t xml:space="preserve">a </w:t>
      </w:r>
      <w:r w:rsidR="00C2311F">
        <w:t xml:space="preserve">déjà </w:t>
      </w:r>
      <w:r w:rsidR="00786D6F" w:rsidRPr="00DA24A5">
        <w:t xml:space="preserve">reçu </w:t>
      </w:r>
      <w:r w:rsidR="00D060E6">
        <w:t xml:space="preserve">un constat d’infraction </w:t>
      </w:r>
      <w:r w:rsidR="00786D6F" w:rsidRPr="00DA24A5">
        <w:t xml:space="preserve">pour avoir sorti ses ordures </w:t>
      </w:r>
      <w:r w:rsidR="00C41E2B">
        <w:t xml:space="preserve">ménagères </w:t>
      </w:r>
      <w:r w:rsidR="00E5305B">
        <w:t xml:space="preserve">en dehors d’une </w:t>
      </w:r>
      <w:r w:rsidR="00C41E2B">
        <w:t>plage horaire</w:t>
      </w:r>
      <w:r w:rsidR="00E5305B">
        <w:t xml:space="preserve"> autorisée</w:t>
      </w:r>
      <w:r w:rsidR="00786D6F" w:rsidRPr="00DA24A5">
        <w:t xml:space="preserve">. </w:t>
      </w:r>
    </w:p>
    <w:p w14:paraId="6C77E9C7" w14:textId="25771387" w:rsidR="003F71E9" w:rsidRPr="00441609" w:rsidRDefault="00C41E2B" w:rsidP="003F71E9">
      <w:r>
        <w:t>P</w:t>
      </w:r>
      <w:r w:rsidR="00984D6C">
        <w:t>ar ailleurs, considérant qu’un Q</w:t>
      </w:r>
      <w:r>
        <w:t xml:space="preserve">uébécois sur deux âgé de 16 à 65 ans possède un niveau de compétence en littératie inférieur ou égal au niveau 2 du </w:t>
      </w:r>
      <w:r w:rsidR="00F16CB3" w:rsidRPr="00F16CB3">
        <w:t xml:space="preserve">Programme pour l'évaluation internationale des compétences des adultes </w:t>
      </w:r>
      <w:r w:rsidR="00F16CB3">
        <w:t>(</w:t>
      </w:r>
      <w:r>
        <w:t>PEICA</w:t>
      </w:r>
      <w:r w:rsidR="00F16CB3">
        <w:t>)</w:t>
      </w:r>
      <w:r>
        <w:rPr>
          <w:rStyle w:val="FootnoteReference"/>
        </w:rPr>
        <w:footnoteReference w:id="21"/>
      </w:r>
      <w:r>
        <w:t xml:space="preserve">, que </w:t>
      </w:r>
      <w:r w:rsidR="00D060E6">
        <w:t xml:space="preserve">cette proportion atteint </w:t>
      </w:r>
      <w:r w:rsidR="00117EE4">
        <w:t xml:space="preserve">près des </w:t>
      </w:r>
      <w:r w:rsidR="00BB0B6F">
        <w:t>deux tiers</w:t>
      </w:r>
      <w:r w:rsidR="00117EE4">
        <w:t xml:space="preserve"> </w:t>
      </w:r>
      <w:r w:rsidR="00D060E6">
        <w:t>d</w:t>
      </w:r>
      <w:r>
        <w:t xml:space="preserve">es personnes moyennement limitées dans leurs activités et </w:t>
      </w:r>
      <w:r w:rsidR="008D00B1">
        <w:t xml:space="preserve">les </w:t>
      </w:r>
      <w:r w:rsidR="00BB0B6F">
        <w:t>trois quarts</w:t>
      </w:r>
      <w:r w:rsidR="008D00B1">
        <w:t xml:space="preserve"> </w:t>
      </w:r>
      <w:r w:rsidR="00D060E6">
        <w:t>d</w:t>
      </w:r>
      <w:r>
        <w:t>es personnes gravement limitées dans leurs activités</w:t>
      </w:r>
      <w:r>
        <w:rPr>
          <w:rStyle w:val="FootnoteReference"/>
        </w:rPr>
        <w:footnoteReference w:id="22"/>
      </w:r>
      <w:r>
        <w:t xml:space="preserve">, l’information écrite </w:t>
      </w:r>
      <w:r w:rsidR="00897880">
        <w:t xml:space="preserve">doit </w:t>
      </w:r>
      <w:r>
        <w:t xml:space="preserve">être rédigée de façon à être facilement compréhensible. </w:t>
      </w:r>
      <w:r w:rsidR="003F71E9" w:rsidRPr="00441609">
        <w:t>Selon les critères officiels, « posséder des compétences en littératie de niveau 2, c’est être capable :</w:t>
      </w:r>
    </w:p>
    <w:p w14:paraId="18A61EB6" w14:textId="1B9DDBCD" w:rsidR="003F71E9" w:rsidRPr="00441609" w:rsidRDefault="003F71E9" w:rsidP="003F71E9">
      <w:pPr>
        <w:pStyle w:val="ListParagraph"/>
        <w:numPr>
          <w:ilvl w:val="0"/>
          <w:numId w:val="32"/>
        </w:numPr>
      </w:pPr>
      <w:r w:rsidRPr="00441609">
        <w:t xml:space="preserve">d’intégrer, à la suite de la lecture d’un texte imprimé ou numérique, au moins deux informations en fonction de critères, de les comparer, de les mettre en </w:t>
      </w:r>
      <w:r w:rsidRPr="00441609">
        <w:lastRenderedPageBreak/>
        <w:t xml:space="preserve">opposition ou d’engager une réflexion à leur sujet, d’effectuer des inférences de faibles </w:t>
      </w:r>
      <w:r w:rsidR="00D5259C" w:rsidRPr="00441609">
        <w:t>niveaux ;</w:t>
      </w:r>
    </w:p>
    <w:p w14:paraId="4E221E02" w14:textId="190F87AE" w:rsidR="003F71E9" w:rsidRPr="00441609" w:rsidRDefault="003F71E9" w:rsidP="003F71E9">
      <w:pPr>
        <w:pStyle w:val="ListParagraph"/>
        <w:numPr>
          <w:ilvl w:val="0"/>
          <w:numId w:val="32"/>
        </w:numPr>
      </w:pPr>
      <w:r w:rsidRPr="00441609">
        <w:t>de parcourir des textes numériques pour repérer les informations dans différentes parties d’un document. »</w:t>
      </w:r>
      <w:r w:rsidRPr="00441609">
        <w:rPr>
          <w:rStyle w:val="FootnoteReference"/>
        </w:rPr>
        <w:footnoteReference w:id="23"/>
      </w:r>
      <w:r w:rsidR="00126E5B" w:rsidRPr="00441609">
        <w:t xml:space="preserve"> Par exemple, </w:t>
      </w:r>
      <w:r w:rsidR="00D54F99">
        <w:t xml:space="preserve">être capable </w:t>
      </w:r>
      <w:r w:rsidR="00126E5B" w:rsidRPr="00441609">
        <w:t>de trouver un numéro de téléphone en choisissant entre les rubriques « contact » et « FAQ »</w:t>
      </w:r>
      <w:r w:rsidR="00D54F99">
        <w:t xml:space="preserve"> d’un site Web.</w:t>
      </w:r>
    </w:p>
    <w:p w14:paraId="6A66DBAB" w14:textId="69FDF162" w:rsidR="00897880" w:rsidRDefault="00897880" w:rsidP="00897880">
      <w:r>
        <w:t xml:space="preserve">Pour assurer une bonne compréhension de l’information par le plus grand nombre, le langage utilisé </w:t>
      </w:r>
      <w:r w:rsidR="003B57B6">
        <w:t xml:space="preserve">dans toutes les communications, orales et écrites, </w:t>
      </w:r>
      <w:r>
        <w:t xml:space="preserve">devra </w:t>
      </w:r>
      <w:r w:rsidR="00B45800">
        <w:t xml:space="preserve">donc </w:t>
      </w:r>
      <w:r>
        <w:t xml:space="preserve">être harmonisé et facile à comprendre, et de nombreux exemples devront être utilisés dans tous les messages pour permettre aux personnes de </w:t>
      </w:r>
      <w:r w:rsidR="00112010">
        <w:t>recevoir effectivement cette information</w:t>
      </w:r>
      <w:r>
        <w:t xml:space="preserve">. </w:t>
      </w:r>
    </w:p>
    <w:p w14:paraId="07060F8F" w14:textId="218C019B" w:rsidR="00235108" w:rsidRDefault="003062D9" w:rsidP="00235108">
      <w:r>
        <w:rPr>
          <w:rFonts w:eastAsia="Calibri" w:cs="Arial"/>
          <w:szCs w:val="24"/>
        </w:rPr>
        <w:t xml:space="preserve">D’autre part, </w:t>
      </w:r>
      <w:r w:rsidR="00C86AB9">
        <w:rPr>
          <w:rFonts w:eastAsia="Calibri" w:cs="Arial"/>
          <w:szCs w:val="24"/>
        </w:rPr>
        <w:t xml:space="preserve">sachant </w:t>
      </w:r>
      <w:r>
        <w:rPr>
          <w:rFonts w:eastAsia="Calibri" w:cs="Arial"/>
          <w:szCs w:val="24"/>
        </w:rPr>
        <w:t xml:space="preserve">que les citoyens et citoyennes montréalais n’ont pas </w:t>
      </w:r>
      <w:r w:rsidR="00627F5A">
        <w:rPr>
          <w:rFonts w:eastAsia="Calibri" w:cs="Arial"/>
          <w:szCs w:val="24"/>
        </w:rPr>
        <w:t xml:space="preserve">tous </w:t>
      </w:r>
      <w:r>
        <w:rPr>
          <w:rFonts w:eastAsia="Calibri" w:cs="Arial"/>
          <w:szCs w:val="24"/>
        </w:rPr>
        <w:t>accès à Internet, faute de connexion</w:t>
      </w:r>
      <w:r w:rsidR="00627F5A">
        <w:rPr>
          <w:rFonts w:eastAsia="Calibri" w:cs="Arial"/>
          <w:szCs w:val="24"/>
        </w:rPr>
        <w:t>,</w:t>
      </w:r>
      <w:r>
        <w:rPr>
          <w:rFonts w:eastAsia="Calibri" w:cs="Arial"/>
          <w:szCs w:val="24"/>
        </w:rPr>
        <w:t xml:space="preserve"> de technologie</w:t>
      </w:r>
      <w:r w:rsidR="00627F5A">
        <w:rPr>
          <w:rFonts w:eastAsia="Calibri" w:cs="Arial"/>
          <w:szCs w:val="24"/>
        </w:rPr>
        <w:t>s</w:t>
      </w:r>
      <w:r>
        <w:rPr>
          <w:rFonts w:eastAsia="Calibri" w:cs="Arial"/>
          <w:szCs w:val="24"/>
        </w:rPr>
        <w:t xml:space="preserve"> </w:t>
      </w:r>
      <w:r w:rsidR="00627F5A">
        <w:rPr>
          <w:rFonts w:eastAsia="Calibri" w:cs="Arial"/>
          <w:szCs w:val="24"/>
        </w:rPr>
        <w:t>(ex. : ordinateur, tablette, téléphone intelligent) ou d’habiletés suffisantes pour les utiliser aisément</w:t>
      </w:r>
      <w:r w:rsidR="001F18F7">
        <w:rPr>
          <w:rFonts w:eastAsia="Calibri" w:cs="Arial"/>
          <w:szCs w:val="24"/>
        </w:rPr>
        <w:t>, toute cam</w:t>
      </w:r>
      <w:r w:rsidR="00D54F99">
        <w:rPr>
          <w:rFonts w:eastAsia="Calibri" w:cs="Arial"/>
          <w:szCs w:val="24"/>
        </w:rPr>
        <w:t>pagne et toute information devront</w:t>
      </w:r>
      <w:r w:rsidR="001F18F7">
        <w:rPr>
          <w:rFonts w:eastAsia="Calibri" w:cs="Arial"/>
          <w:szCs w:val="24"/>
        </w:rPr>
        <w:t xml:space="preserve"> être disponible</w:t>
      </w:r>
      <w:r w:rsidR="00D54F99">
        <w:rPr>
          <w:rFonts w:eastAsia="Calibri" w:cs="Arial"/>
          <w:szCs w:val="24"/>
        </w:rPr>
        <w:t>s</w:t>
      </w:r>
      <w:r w:rsidR="001F18F7">
        <w:rPr>
          <w:rFonts w:eastAsia="Calibri" w:cs="Arial"/>
          <w:szCs w:val="24"/>
        </w:rPr>
        <w:t xml:space="preserve"> en tout temps dans différents formats, autres que numériques, sans quoi une partie significative de la population montréalaise en serait exclue. </w:t>
      </w:r>
      <w:r w:rsidR="00235108">
        <w:t>A</w:t>
      </w:r>
      <w:r w:rsidR="00A421A5">
        <w:t>in</w:t>
      </w:r>
      <w:r w:rsidR="00235108">
        <w:t xml:space="preserve">si, les communications et les campagnes d’information devront se faire sur différents </w:t>
      </w:r>
      <w:r w:rsidR="00B843E3">
        <w:t xml:space="preserve">supports </w:t>
      </w:r>
      <w:r w:rsidR="00235108">
        <w:t>(</w:t>
      </w:r>
      <w:r w:rsidR="0095398D">
        <w:t xml:space="preserve">ex. : </w:t>
      </w:r>
      <w:r w:rsidR="00235108">
        <w:t>sites Web, médias sociaux, journaux locaux et régionaux, radio et télévision), et</w:t>
      </w:r>
      <w:r w:rsidR="00984D6C">
        <w:t xml:space="preserve"> </w:t>
      </w:r>
      <w:r w:rsidR="0095398D">
        <w:t xml:space="preserve">dans </w:t>
      </w:r>
      <w:r w:rsidR="00984D6C">
        <w:t>différents formats (</w:t>
      </w:r>
      <w:r w:rsidR="0095398D">
        <w:t xml:space="preserve">ex. : </w:t>
      </w:r>
      <w:r w:rsidR="00235108">
        <w:t xml:space="preserve">gros caractères, audio, braille, </w:t>
      </w:r>
      <w:r w:rsidR="00D54F99">
        <w:t>langue des signes québécoise (LSQ)</w:t>
      </w:r>
      <w:r w:rsidR="00235108">
        <w:t xml:space="preserve">). </w:t>
      </w:r>
      <w:r w:rsidR="00112DD5">
        <w:t>Par exemple, du sous-titrage, de la vidéo-description ou des médaillons en langue des signes devront accompagner les messages diffusés sous forme de vidéo, le cas échéant. Au demeurant</w:t>
      </w:r>
      <w:r w:rsidR="0095398D">
        <w:t>, tous les contenus numériques (ex. : sites Web</w:t>
      </w:r>
      <w:r w:rsidR="00770C77">
        <w:t>, applications pour téléphones intelligents</w:t>
      </w:r>
      <w:r w:rsidR="0095398D">
        <w:t>) devront tenir compte des règles d’accessibilité.</w:t>
      </w:r>
      <w:r w:rsidR="006F6A5F">
        <w:t xml:space="preserve"> </w:t>
      </w:r>
    </w:p>
    <w:p w14:paraId="0E8F8BA9" w14:textId="33531F27" w:rsidR="006F6A5F" w:rsidRPr="00115AC4" w:rsidRDefault="006F6A5F" w:rsidP="006F6A5F">
      <w:pPr>
        <w:spacing w:before="0" w:after="160" w:line="259" w:lineRule="auto"/>
        <w:rPr>
          <w:rFonts w:eastAsia="Calibri" w:cs="Arial"/>
          <w:szCs w:val="24"/>
        </w:rPr>
      </w:pPr>
      <w:r>
        <w:rPr>
          <w:rFonts w:eastAsia="Calibri" w:cs="Arial"/>
          <w:szCs w:val="24"/>
        </w:rPr>
        <w:t>Finalement, t</w:t>
      </w:r>
      <w:r w:rsidRPr="00115AC4">
        <w:rPr>
          <w:rFonts w:eastAsia="Calibri" w:cs="Arial"/>
          <w:szCs w:val="24"/>
        </w:rPr>
        <w:t xml:space="preserve">oute campagne de promotion </w:t>
      </w:r>
      <w:r>
        <w:rPr>
          <w:rFonts w:eastAsia="Calibri" w:cs="Arial"/>
          <w:szCs w:val="24"/>
        </w:rPr>
        <w:t xml:space="preserve">(cf. : actions 5.1.1 et 5.1.2) </w:t>
      </w:r>
      <w:r w:rsidRPr="00115AC4">
        <w:rPr>
          <w:rFonts w:eastAsia="Calibri" w:cs="Arial"/>
          <w:szCs w:val="24"/>
        </w:rPr>
        <w:t xml:space="preserve">devra aussi être </w:t>
      </w:r>
      <w:r w:rsidRPr="003D010F">
        <w:rPr>
          <w:rFonts w:eastAsia="Calibri" w:cs="Arial"/>
          <w:szCs w:val="24"/>
        </w:rPr>
        <w:t>adaptée aux réalités migratoires des</w:t>
      </w:r>
      <w:r w:rsidRPr="00115AC4">
        <w:rPr>
          <w:rFonts w:eastAsia="Calibri" w:cs="Arial"/>
          <w:szCs w:val="24"/>
        </w:rPr>
        <w:t xml:space="preserve"> montréalais. </w:t>
      </w:r>
      <w:r>
        <w:rPr>
          <w:rFonts w:eastAsia="Calibri" w:cs="Arial"/>
          <w:szCs w:val="24"/>
        </w:rPr>
        <w:t xml:space="preserve">De fait, </w:t>
      </w:r>
      <w:r w:rsidR="00924CA9">
        <w:rPr>
          <w:rFonts w:eastAsia="Calibri" w:cs="Arial"/>
          <w:szCs w:val="24"/>
        </w:rPr>
        <w:t xml:space="preserve">selon le recensement de 2016, </w:t>
      </w:r>
      <w:r w:rsidR="000530AF">
        <w:rPr>
          <w:rFonts w:eastAsia="Calibri" w:cs="Arial"/>
          <w:szCs w:val="24"/>
        </w:rPr>
        <w:t>près de 45 000 montréalais</w:t>
      </w:r>
      <w:r w:rsidR="00924CA9">
        <w:rPr>
          <w:rStyle w:val="FootnoteReference"/>
          <w:rFonts w:eastAsia="Calibri" w:cs="Arial"/>
          <w:szCs w:val="24"/>
        </w:rPr>
        <w:footnoteReference w:id="24"/>
      </w:r>
      <w:r w:rsidR="000530AF">
        <w:rPr>
          <w:rFonts w:eastAsia="Calibri" w:cs="Arial"/>
          <w:szCs w:val="24"/>
        </w:rPr>
        <w:t xml:space="preserve"> (ou 2,4 %) </w:t>
      </w:r>
      <w:r w:rsidRPr="00115AC4">
        <w:rPr>
          <w:rFonts w:eastAsia="Calibri" w:cs="Arial"/>
          <w:szCs w:val="24"/>
        </w:rPr>
        <w:t>ne parlent ni français ni anglais</w:t>
      </w:r>
      <w:r w:rsidR="00924CA9">
        <w:rPr>
          <w:rFonts w:eastAsia="Calibri" w:cs="Arial"/>
          <w:szCs w:val="24"/>
        </w:rPr>
        <w:t xml:space="preserve">. </w:t>
      </w:r>
      <w:r w:rsidR="00964F89">
        <w:rPr>
          <w:rFonts w:eastAsia="Calibri" w:cs="Arial"/>
          <w:szCs w:val="24"/>
        </w:rPr>
        <w:t xml:space="preserve">Il s’agit notamment de </w:t>
      </w:r>
      <w:r>
        <w:rPr>
          <w:rFonts w:eastAsia="Calibri" w:cs="Arial"/>
          <w:szCs w:val="24"/>
        </w:rPr>
        <w:t>14</w:t>
      </w:r>
      <w:r w:rsidR="00BB0B6F">
        <w:rPr>
          <w:rFonts w:eastAsia="Calibri" w:cs="Arial"/>
          <w:szCs w:val="24"/>
        </w:rPr>
        <w:t> %</w:t>
      </w:r>
      <w:r>
        <w:rPr>
          <w:rFonts w:eastAsia="Calibri" w:cs="Arial"/>
          <w:szCs w:val="24"/>
        </w:rPr>
        <w:t xml:space="preserve"> des </w:t>
      </w:r>
      <w:r w:rsidR="00964F89">
        <w:rPr>
          <w:rFonts w:eastAsia="Calibri" w:cs="Arial"/>
          <w:szCs w:val="24"/>
        </w:rPr>
        <w:t xml:space="preserve">65 ans et plus </w:t>
      </w:r>
      <w:r w:rsidRPr="00115AC4">
        <w:rPr>
          <w:rFonts w:eastAsia="Calibri" w:cs="Arial"/>
          <w:szCs w:val="24"/>
        </w:rPr>
        <w:t xml:space="preserve">et </w:t>
      </w:r>
      <w:r w:rsidR="00964F89">
        <w:rPr>
          <w:rFonts w:eastAsia="Calibri" w:cs="Arial"/>
          <w:szCs w:val="24"/>
        </w:rPr>
        <w:t xml:space="preserve">de </w:t>
      </w:r>
      <w:r w:rsidRPr="00115AC4">
        <w:rPr>
          <w:rFonts w:eastAsia="Calibri" w:cs="Arial"/>
          <w:szCs w:val="24"/>
        </w:rPr>
        <w:t xml:space="preserve">près du tiers </w:t>
      </w:r>
      <w:r>
        <w:rPr>
          <w:rFonts w:eastAsia="Calibri" w:cs="Arial"/>
          <w:szCs w:val="24"/>
        </w:rPr>
        <w:t>d</w:t>
      </w:r>
      <w:r w:rsidRPr="00115AC4">
        <w:rPr>
          <w:rFonts w:eastAsia="Calibri" w:cs="Arial"/>
          <w:szCs w:val="24"/>
        </w:rPr>
        <w:t>es 85 ans et plus</w:t>
      </w:r>
      <w:r w:rsidRPr="00115AC4">
        <w:rPr>
          <w:rFonts w:eastAsia="Calibri" w:cs="Arial"/>
          <w:szCs w:val="24"/>
          <w:vertAlign w:val="superscript"/>
        </w:rPr>
        <w:footnoteReference w:id="25"/>
      </w:r>
      <w:r w:rsidR="00924CA9">
        <w:rPr>
          <w:rFonts w:eastAsia="Calibri" w:cs="Arial"/>
          <w:szCs w:val="24"/>
        </w:rPr>
        <w:t xml:space="preserve"> nés à l’étranger</w:t>
      </w:r>
      <w:r w:rsidRPr="00115AC4">
        <w:rPr>
          <w:rFonts w:eastAsia="Calibri" w:cs="Arial"/>
          <w:szCs w:val="24"/>
        </w:rPr>
        <w:t xml:space="preserve">. </w:t>
      </w:r>
    </w:p>
    <w:p w14:paraId="33ED9A67" w14:textId="77777777" w:rsidR="005106B7" w:rsidRDefault="00EB7E4F" w:rsidP="007E2C1A">
      <w:pPr>
        <w:rPr>
          <w:rFonts w:eastAsia="Calibri" w:cs="Arial"/>
          <w:szCs w:val="24"/>
        </w:rPr>
      </w:pPr>
      <w:r>
        <w:rPr>
          <w:rFonts w:eastAsia="Calibri" w:cs="Arial"/>
          <w:szCs w:val="24"/>
        </w:rPr>
        <w:lastRenderedPageBreak/>
        <w:t xml:space="preserve">Recommandations : </w:t>
      </w:r>
    </w:p>
    <w:p w14:paraId="3D492A40" w14:textId="4E15FA5E" w:rsidR="00EB7E4F" w:rsidRDefault="00EB7E4F" w:rsidP="00836B4F">
      <w:pPr>
        <w:numPr>
          <w:ilvl w:val="0"/>
          <w:numId w:val="14"/>
        </w:numPr>
      </w:pPr>
      <w:r>
        <w:t xml:space="preserve">Que l’information sur les jours et la fréquence de tous les services de collecte, </w:t>
      </w:r>
      <w:r w:rsidR="00406CF0">
        <w:t xml:space="preserve">les heures et lieux de dépôt, </w:t>
      </w:r>
      <w:r>
        <w:t>ainsi que sur la nature des matières récupérées, soit disponible en tout temps</w:t>
      </w:r>
      <w:r w:rsidR="009C6A76">
        <w:t>,</w:t>
      </w:r>
      <w:r w:rsidR="00E91AC7">
        <w:t xml:space="preserve"> </w:t>
      </w:r>
      <w:r w:rsidR="00406CF0">
        <w:t xml:space="preserve">sur différents supports et </w:t>
      </w:r>
      <w:r w:rsidR="00E91AC7">
        <w:t xml:space="preserve">dans différents </w:t>
      </w:r>
      <w:r>
        <w:t xml:space="preserve">formats. </w:t>
      </w:r>
    </w:p>
    <w:p w14:paraId="3AE6A202" w14:textId="7939D20C" w:rsidR="00836B4F" w:rsidRDefault="00836B4F" w:rsidP="00836B4F">
      <w:pPr>
        <w:numPr>
          <w:ilvl w:val="0"/>
          <w:numId w:val="14"/>
        </w:numPr>
        <w:rPr>
          <w:rFonts w:eastAsia="Calibri" w:cs="Arial"/>
          <w:szCs w:val="24"/>
        </w:rPr>
      </w:pPr>
      <w:r>
        <w:rPr>
          <w:rFonts w:eastAsia="Calibri" w:cs="Arial"/>
          <w:szCs w:val="24"/>
        </w:rPr>
        <w:t xml:space="preserve">Que toute l’information soit </w:t>
      </w:r>
      <w:r w:rsidR="003B57B6">
        <w:rPr>
          <w:rFonts w:eastAsia="Calibri" w:cs="Arial"/>
          <w:szCs w:val="24"/>
        </w:rPr>
        <w:t xml:space="preserve">formulée </w:t>
      </w:r>
      <w:r>
        <w:rPr>
          <w:rFonts w:eastAsia="Calibri" w:cs="Arial"/>
          <w:szCs w:val="24"/>
        </w:rPr>
        <w:t xml:space="preserve">dans un langage simple, compréhensible par tous, y compris </w:t>
      </w:r>
      <w:r w:rsidR="009C6A76">
        <w:rPr>
          <w:rFonts w:eastAsia="Calibri" w:cs="Arial"/>
          <w:szCs w:val="24"/>
        </w:rPr>
        <w:t xml:space="preserve">par </w:t>
      </w:r>
      <w:r>
        <w:rPr>
          <w:rFonts w:eastAsia="Calibri" w:cs="Arial"/>
          <w:szCs w:val="24"/>
        </w:rPr>
        <w:t xml:space="preserve">les personnes </w:t>
      </w:r>
      <w:r w:rsidR="003B57B6">
        <w:rPr>
          <w:rFonts w:eastAsia="Calibri" w:cs="Arial"/>
          <w:szCs w:val="24"/>
        </w:rPr>
        <w:t xml:space="preserve">allophones ou </w:t>
      </w:r>
      <w:r>
        <w:rPr>
          <w:rFonts w:eastAsia="Calibri" w:cs="Arial"/>
          <w:szCs w:val="24"/>
        </w:rPr>
        <w:t xml:space="preserve">ayant de faibles compétences en littératie. </w:t>
      </w:r>
    </w:p>
    <w:p w14:paraId="3CE1E884" w14:textId="3FF72239" w:rsidR="00E91AC7" w:rsidRPr="00E91AC7" w:rsidRDefault="00235108" w:rsidP="00836B4F">
      <w:pPr>
        <w:numPr>
          <w:ilvl w:val="0"/>
          <w:numId w:val="14"/>
        </w:numPr>
        <w:rPr>
          <w:rFonts w:eastAsia="Calibri" w:cs="Arial"/>
          <w:szCs w:val="24"/>
        </w:rPr>
      </w:pPr>
      <w:r>
        <w:rPr>
          <w:rFonts w:eastAsia="Calibri" w:cs="Arial"/>
          <w:szCs w:val="24"/>
        </w:rPr>
        <w:t>Que les campagnes de</w:t>
      </w:r>
      <w:r w:rsidR="006F6A5F">
        <w:rPr>
          <w:rFonts w:eastAsia="Calibri" w:cs="Arial"/>
          <w:szCs w:val="24"/>
        </w:rPr>
        <w:t xml:space="preserve"> promotion ou de sensibilisation</w:t>
      </w:r>
      <w:r>
        <w:rPr>
          <w:rFonts w:eastAsia="Calibri" w:cs="Arial"/>
          <w:szCs w:val="24"/>
        </w:rPr>
        <w:t xml:space="preserve"> soient disponibles </w:t>
      </w:r>
      <w:r w:rsidR="00A421A5">
        <w:rPr>
          <w:rFonts w:eastAsia="Calibri" w:cs="Arial"/>
          <w:szCs w:val="24"/>
        </w:rPr>
        <w:t xml:space="preserve">sur différents </w:t>
      </w:r>
      <w:r w:rsidR="00B843E3">
        <w:rPr>
          <w:rFonts w:eastAsia="Calibri" w:cs="Arial"/>
          <w:szCs w:val="24"/>
        </w:rPr>
        <w:t xml:space="preserve">supports </w:t>
      </w:r>
      <w:r w:rsidR="00A421A5">
        <w:rPr>
          <w:rFonts w:eastAsia="Calibri" w:cs="Arial"/>
          <w:szCs w:val="24"/>
        </w:rPr>
        <w:t xml:space="preserve">(ex. : sites Web, médias sociaux, </w:t>
      </w:r>
      <w:r w:rsidR="00E91AC7">
        <w:t>journaux locaux et r</w:t>
      </w:r>
      <w:r w:rsidR="009C6A76">
        <w:t xml:space="preserve">égionaux, radio et télévision). </w:t>
      </w:r>
    </w:p>
    <w:p w14:paraId="41A1D5DD" w14:textId="100749BE" w:rsidR="003B57B6" w:rsidRPr="00B843E3" w:rsidRDefault="00E91AC7" w:rsidP="00836B4F">
      <w:pPr>
        <w:numPr>
          <w:ilvl w:val="0"/>
          <w:numId w:val="14"/>
        </w:numPr>
        <w:rPr>
          <w:rFonts w:eastAsia="Calibri" w:cs="Arial"/>
          <w:szCs w:val="24"/>
        </w:rPr>
      </w:pPr>
      <w:r>
        <w:t xml:space="preserve">Que l’information soit </w:t>
      </w:r>
      <w:r w:rsidR="00B843E3">
        <w:t xml:space="preserve">offerte </w:t>
      </w:r>
      <w:r>
        <w:t xml:space="preserve">dans différents formats (ex. : format numérique, audio, LSQ, gros caractères, </w:t>
      </w:r>
      <w:r w:rsidR="00B843E3">
        <w:t>braille</w:t>
      </w:r>
      <w:r>
        <w:t xml:space="preserve">). </w:t>
      </w:r>
    </w:p>
    <w:p w14:paraId="789644D1" w14:textId="77777777" w:rsidR="00B843E3" w:rsidRPr="00DC54CA" w:rsidRDefault="00B843E3" w:rsidP="00836B4F">
      <w:pPr>
        <w:numPr>
          <w:ilvl w:val="0"/>
          <w:numId w:val="14"/>
        </w:numPr>
        <w:rPr>
          <w:rFonts w:eastAsia="Calibri" w:cs="Arial"/>
          <w:szCs w:val="24"/>
        </w:rPr>
      </w:pPr>
      <w:r>
        <w:t>Que des personnes ayant</w:t>
      </w:r>
      <w:r w:rsidR="00586DB4">
        <w:t xml:space="preserve"> des limitations fonctionnelles</w:t>
      </w:r>
      <w:r>
        <w:t xml:space="preserve"> et les organismes comm</w:t>
      </w:r>
      <w:r w:rsidR="00586DB4">
        <w:t>unautaires qui les représentent</w:t>
      </w:r>
      <w:r>
        <w:t xml:space="preserve"> soient consultés afin de déterminer les supports et les formats pertinents selon le type d’information à diffuser. </w:t>
      </w:r>
    </w:p>
    <w:p w14:paraId="37DAF558" w14:textId="10ABA732" w:rsidR="00DC54CA" w:rsidRPr="00DC54CA" w:rsidRDefault="00DC54CA" w:rsidP="002332FE">
      <w:pPr>
        <w:numPr>
          <w:ilvl w:val="0"/>
          <w:numId w:val="14"/>
        </w:numPr>
        <w:rPr>
          <w:rFonts w:eastAsia="Calibri" w:cs="Arial"/>
          <w:szCs w:val="24"/>
        </w:rPr>
      </w:pPr>
      <w:r>
        <w:t xml:space="preserve">Que des personnes ayant </w:t>
      </w:r>
      <w:r w:rsidR="00BB0B6F">
        <w:t xml:space="preserve">des limitations fonctionnelles </w:t>
      </w:r>
      <w:r>
        <w:t xml:space="preserve">vérifient </w:t>
      </w:r>
      <w:r w:rsidR="002332FE" w:rsidRPr="002332FE">
        <w:t>systématiquement</w:t>
      </w:r>
      <w:r w:rsidR="002332FE">
        <w:t xml:space="preserve"> </w:t>
      </w:r>
      <w:r>
        <w:t xml:space="preserve">l’accessibilité de l’information avant qu’elle ne soit diffusée. </w:t>
      </w:r>
    </w:p>
    <w:p w14:paraId="66030EB4" w14:textId="4FE7E9B0" w:rsidR="00974EFC" w:rsidRPr="00974EFC" w:rsidRDefault="007E2C1A" w:rsidP="00974EFC">
      <w:r>
        <w:t xml:space="preserve">Ainsi, toutes les communications, y compris les campagnes </w:t>
      </w:r>
      <w:r w:rsidR="00DC54CA">
        <w:t xml:space="preserve">de promotion ou de sensibilisation </w:t>
      </w:r>
      <w:r>
        <w:t>(cf. : action</w:t>
      </w:r>
      <w:r w:rsidR="00DC54CA">
        <w:t>s</w:t>
      </w:r>
      <w:r>
        <w:t xml:space="preserve"> </w:t>
      </w:r>
      <w:r w:rsidR="00DC54CA">
        <w:t xml:space="preserve">5.1.1 et </w:t>
      </w:r>
      <w:r w:rsidR="00BB0B6F">
        <w:t xml:space="preserve">5.1.2) </w:t>
      </w:r>
      <w:r>
        <w:t xml:space="preserve">devront tenir compte des besoins de </w:t>
      </w:r>
      <w:r w:rsidR="00426572">
        <w:t xml:space="preserve">l’ensemble de </w:t>
      </w:r>
      <w:r>
        <w:t>la po</w:t>
      </w:r>
      <w:r w:rsidR="00220060">
        <w:t>pulation, y compr</w:t>
      </w:r>
      <w:r w:rsidR="008B658D">
        <w:t>is des allophones, d</w:t>
      </w:r>
      <w:r>
        <w:t xml:space="preserve">es </w:t>
      </w:r>
      <w:r w:rsidR="00586DB4">
        <w:t xml:space="preserve">personnes </w:t>
      </w:r>
      <w:r>
        <w:t>aîné</w:t>
      </w:r>
      <w:r w:rsidR="00586DB4">
        <w:t>e</w:t>
      </w:r>
      <w:r w:rsidR="008B658D">
        <w:t>s et d</w:t>
      </w:r>
      <w:r>
        <w:t xml:space="preserve">es personnes ayant des limitations fonctionnelles. </w:t>
      </w:r>
    </w:p>
    <w:p w14:paraId="1E57F226" w14:textId="77777777" w:rsidR="00290CCC" w:rsidRDefault="00290CCC" w:rsidP="00290CCC">
      <w:pPr>
        <w:pStyle w:val="Heading2"/>
      </w:pPr>
      <w:bookmarkStart w:id="23" w:name="_Toc30437416"/>
      <w:r>
        <w:t>Signalisation</w:t>
      </w:r>
      <w:bookmarkEnd w:id="23"/>
    </w:p>
    <w:p w14:paraId="2EF15EB8" w14:textId="77777777" w:rsidR="00CA5EDD" w:rsidRDefault="005F1F88" w:rsidP="00290CCC">
      <w:r>
        <w:t>L</w:t>
      </w:r>
      <w:r w:rsidRPr="00E55761">
        <w:t xml:space="preserve">e processus de tri représente </w:t>
      </w:r>
      <w:r w:rsidR="00236DAA">
        <w:t xml:space="preserve">un </w:t>
      </w:r>
      <w:r w:rsidR="00236DAA" w:rsidRPr="00E55761">
        <w:t>défi important</w:t>
      </w:r>
      <w:r w:rsidRPr="00E55761">
        <w:t xml:space="preserve"> pour </w:t>
      </w:r>
      <w:r>
        <w:t>tous les citoyens</w:t>
      </w:r>
      <w:r w:rsidR="00A07495">
        <w:t xml:space="preserve"> et citoyennes</w:t>
      </w:r>
      <w:r>
        <w:t xml:space="preserve">, particulièrement pour </w:t>
      </w:r>
      <w:r w:rsidRPr="00E55761">
        <w:t xml:space="preserve">les personnes </w:t>
      </w:r>
      <w:r>
        <w:t xml:space="preserve">ayant des limitations fonctionnelles et pour les personnes aînées, notamment pour celles ayant un </w:t>
      </w:r>
      <w:r w:rsidRPr="00E55761">
        <w:t xml:space="preserve">déficit cognitif, dont le nombre </w:t>
      </w:r>
      <w:r w:rsidR="00CA5EDD">
        <w:t>ne cesse d’</w:t>
      </w:r>
      <w:r w:rsidRPr="00E55761">
        <w:t>augmente</w:t>
      </w:r>
      <w:r w:rsidR="00CA5EDD">
        <w:t>r</w:t>
      </w:r>
      <w:r w:rsidRPr="00E55761">
        <w:t xml:space="preserve"> de façon significative. </w:t>
      </w:r>
      <w:r w:rsidR="00CA5EDD">
        <w:t>En outre, dans un contexte où l</w:t>
      </w:r>
      <w:r w:rsidRPr="00E55761">
        <w:t xml:space="preserve">e </w:t>
      </w:r>
      <w:r w:rsidR="00CA5EDD">
        <w:t>G</w:t>
      </w:r>
      <w:r w:rsidRPr="00E55761">
        <w:t xml:space="preserve">ouvernement </w:t>
      </w:r>
      <w:r w:rsidR="00CA5EDD">
        <w:t xml:space="preserve">du Québec </w:t>
      </w:r>
      <w:r w:rsidRPr="00E55761">
        <w:t>investi</w:t>
      </w:r>
      <w:r w:rsidR="00586DB4">
        <w:t>t</w:t>
      </w:r>
      <w:r w:rsidRPr="00E55761">
        <w:t xml:space="preserve"> massivement dans le</w:t>
      </w:r>
      <w:r w:rsidR="00CA5EDD">
        <w:t xml:space="preserve">s programmes de </w:t>
      </w:r>
      <w:r w:rsidRPr="00E55761">
        <w:t xml:space="preserve">maintien à domicile, la Ville de Montréal doit </w:t>
      </w:r>
      <w:r w:rsidR="00236DAA">
        <w:t xml:space="preserve">adopter les mesures nécessaires pour </w:t>
      </w:r>
      <w:r w:rsidR="005E0E2C">
        <w:t xml:space="preserve">favoriser </w:t>
      </w:r>
      <w:r w:rsidR="00236DAA">
        <w:t>la participation citoyenne de tous les Montréalais</w:t>
      </w:r>
      <w:r w:rsidR="00586DB4">
        <w:t xml:space="preserve"> et Montréalaises</w:t>
      </w:r>
      <w:r w:rsidR="00236DAA">
        <w:t xml:space="preserve">. </w:t>
      </w:r>
    </w:p>
    <w:p w14:paraId="7CCB742F" w14:textId="7BD2DFC8" w:rsidR="009F505C" w:rsidRDefault="00E27F53" w:rsidP="00290CCC">
      <w:r>
        <w:t xml:space="preserve">Pour ce faire, </w:t>
      </w:r>
      <w:r w:rsidR="00646A8C">
        <w:t>la définition</w:t>
      </w:r>
      <w:r w:rsidR="00BE2ED5">
        <w:t>, la standardisation</w:t>
      </w:r>
      <w:r w:rsidR="00646A8C">
        <w:t xml:space="preserve"> et l’harmonisation de </w:t>
      </w:r>
      <w:r>
        <w:t>l</w:t>
      </w:r>
      <w:r w:rsidR="00290CCC" w:rsidRPr="00E036AB">
        <w:t xml:space="preserve">a signalisation et </w:t>
      </w:r>
      <w:r w:rsidR="00646A8C">
        <w:t>d</w:t>
      </w:r>
      <w:r w:rsidR="00290CCC" w:rsidRPr="00E036AB">
        <w:t>es normes graphiques</w:t>
      </w:r>
      <w:r w:rsidR="00290CCC">
        <w:t xml:space="preserve"> </w:t>
      </w:r>
      <w:r w:rsidR="00646A8C">
        <w:t xml:space="preserve">qui </w:t>
      </w:r>
      <w:r w:rsidR="0023188E">
        <w:t xml:space="preserve">favoriseront une meilleure utilisation </w:t>
      </w:r>
      <w:r w:rsidR="00290CCC">
        <w:t xml:space="preserve">des îlots de récupération (cf. : action 3.1.2) </w:t>
      </w:r>
      <w:r w:rsidR="0023188E">
        <w:t xml:space="preserve">en permettant </w:t>
      </w:r>
      <w:r w:rsidR="00BE2ED5">
        <w:t xml:space="preserve">aux citoyens </w:t>
      </w:r>
      <w:r w:rsidR="00FC5E2B">
        <w:t xml:space="preserve">et citoyennes </w:t>
      </w:r>
      <w:r w:rsidR="00BE2ED5">
        <w:t xml:space="preserve">de poser les bons gestes de tri dans les espaces publics, </w:t>
      </w:r>
      <w:r w:rsidR="00290CCC">
        <w:t xml:space="preserve">devront répondre aux besoins des personnes </w:t>
      </w:r>
      <w:r w:rsidR="00BE2ED5">
        <w:t xml:space="preserve">aînées ou </w:t>
      </w:r>
      <w:r w:rsidR="00290CCC">
        <w:t xml:space="preserve">ayant des limitations fonctionnelles. </w:t>
      </w:r>
    </w:p>
    <w:p w14:paraId="243529E2" w14:textId="5E54B8BB" w:rsidR="00200FFA" w:rsidRDefault="00200FFA" w:rsidP="00290CCC">
      <w:r>
        <w:lastRenderedPageBreak/>
        <w:t xml:space="preserve">Par ailleurs, la mise en place d’une signalisation adéquate sera également nécessaire </w:t>
      </w:r>
      <w:r w:rsidR="0018631D">
        <w:t xml:space="preserve">à la réalisation de plusieurs actions présentées dans le Plan, </w:t>
      </w:r>
      <w:r>
        <w:t xml:space="preserve">tant pour </w:t>
      </w:r>
      <w:r w:rsidR="008F5947">
        <w:t xml:space="preserve">le repérage </w:t>
      </w:r>
      <w:r>
        <w:t xml:space="preserve">des boîtes de dons de textiles (cf. : action 1.3.1) </w:t>
      </w:r>
      <w:r w:rsidR="0018631D">
        <w:t xml:space="preserve">que des fontaines d’eau potable (cf. : action 5.2.3). </w:t>
      </w:r>
    </w:p>
    <w:p w14:paraId="269491DA" w14:textId="77777777" w:rsidR="00290CCC" w:rsidRDefault="00260A89" w:rsidP="00290CCC">
      <w:r>
        <w:t>Au demeurant, l</w:t>
      </w:r>
      <w:r w:rsidR="00290CCC">
        <w:t>a participation des personnes ayant des limitations fonctionnelles et des organismes qui possèdent une expertise dans ce domaine sera requise à toutes les étapes du processus</w:t>
      </w:r>
      <w:r w:rsidR="009F505C">
        <w:t xml:space="preserve"> d’élaboration et de mise en place</w:t>
      </w:r>
      <w:r w:rsidR="00290CCC">
        <w:t xml:space="preserve">, afin de s’assurer </w:t>
      </w:r>
      <w:r>
        <w:t xml:space="preserve">de </w:t>
      </w:r>
      <w:r w:rsidR="0018631D">
        <w:t xml:space="preserve">l’efficacité </w:t>
      </w:r>
      <w:r>
        <w:t xml:space="preserve">de la signalisation et de la </w:t>
      </w:r>
      <w:r w:rsidR="00290CCC">
        <w:t xml:space="preserve">compréhension </w:t>
      </w:r>
      <w:r w:rsidR="00406495">
        <w:t>des normes graphiques</w:t>
      </w:r>
      <w:r>
        <w:t xml:space="preserve">, </w:t>
      </w:r>
      <w:r w:rsidR="00290CCC">
        <w:t xml:space="preserve">par le plus grand nombre d’utilisateurs. </w:t>
      </w:r>
    </w:p>
    <w:p w14:paraId="2CAC2E5D" w14:textId="77777777" w:rsidR="00290CCC" w:rsidRDefault="0023188E" w:rsidP="00290CCC">
      <w:r>
        <w:t xml:space="preserve">Recommandations : </w:t>
      </w:r>
    </w:p>
    <w:p w14:paraId="647B7B47" w14:textId="3E8B02AA" w:rsidR="002805A9" w:rsidRDefault="002805A9" w:rsidP="001D21BD">
      <w:pPr>
        <w:numPr>
          <w:ilvl w:val="0"/>
          <w:numId w:val="14"/>
        </w:numPr>
      </w:pPr>
      <w:r>
        <w:t xml:space="preserve">Que la signalisation et les normes graphiques favorisant une utilisation adéquate des </w:t>
      </w:r>
      <w:r w:rsidR="008B658D">
        <w:t>îlot</w:t>
      </w:r>
      <w:r>
        <w:t>s de récupération tienne compte des besoins de tous les citoyens</w:t>
      </w:r>
      <w:r w:rsidR="00586DB4">
        <w:t xml:space="preserve"> et citoyennes</w:t>
      </w:r>
      <w:r w:rsidR="00220060">
        <w:t xml:space="preserve">, y compris </w:t>
      </w:r>
      <w:r w:rsidR="001478D7">
        <w:t>de ceux d</w:t>
      </w:r>
      <w:r>
        <w:t xml:space="preserve">es personnes aînées ou ayant des limitations fonctionnelles. </w:t>
      </w:r>
    </w:p>
    <w:p w14:paraId="7035364C" w14:textId="0E58E375" w:rsidR="005E0E2C" w:rsidRDefault="005E0E2C" w:rsidP="001D21BD">
      <w:pPr>
        <w:numPr>
          <w:ilvl w:val="0"/>
          <w:numId w:val="14"/>
        </w:numPr>
      </w:pPr>
      <w:r>
        <w:t>Qu’une signalisation et des normes graphiques adéquates soient également élaborées pour permettre à tous les citoyens</w:t>
      </w:r>
      <w:r w:rsidR="00586DB4">
        <w:t xml:space="preserve"> et citoyennes</w:t>
      </w:r>
      <w:r>
        <w:t xml:space="preserve">, y compris </w:t>
      </w:r>
      <w:r w:rsidR="001478D7">
        <w:t xml:space="preserve">aux </w:t>
      </w:r>
      <w:r>
        <w:t xml:space="preserve">personnes aînées ou ayant des limitations fonctionnelles, </w:t>
      </w:r>
      <w:r w:rsidR="0085674E">
        <w:t xml:space="preserve">de repérer </w:t>
      </w:r>
      <w:r>
        <w:t xml:space="preserve">les boîtes </w:t>
      </w:r>
      <w:r w:rsidRPr="003D010F">
        <w:t>de dons de textiles, les fontaines</w:t>
      </w:r>
      <w:r>
        <w:t xml:space="preserve"> d’eau potable, etc., </w:t>
      </w:r>
      <w:r w:rsidR="006D5142">
        <w:t xml:space="preserve">présentes </w:t>
      </w:r>
      <w:r>
        <w:t xml:space="preserve">sur le domaine public. </w:t>
      </w:r>
    </w:p>
    <w:p w14:paraId="4470E3D7" w14:textId="77777777" w:rsidR="002805A9" w:rsidRDefault="002805A9" w:rsidP="001D21BD">
      <w:pPr>
        <w:numPr>
          <w:ilvl w:val="0"/>
          <w:numId w:val="14"/>
        </w:numPr>
      </w:pPr>
      <w:r>
        <w:t xml:space="preserve">Que des </w:t>
      </w:r>
      <w:r w:rsidR="001D21BD">
        <w:t xml:space="preserve">organismes </w:t>
      </w:r>
      <w:r w:rsidR="006D5142">
        <w:t xml:space="preserve">de personnes ayant des limitations fonctionnelles, </w:t>
      </w:r>
      <w:r w:rsidR="001D21BD">
        <w:t>qui possèdent une expertise dans ce domaine</w:t>
      </w:r>
      <w:r w:rsidR="006D5142">
        <w:t>,</w:t>
      </w:r>
      <w:r w:rsidR="001D21BD">
        <w:t xml:space="preserve"> prennent part à toutes les étapes du processus d’élaboration et de mise en place de la signalisation et des normes graphiques. </w:t>
      </w:r>
    </w:p>
    <w:p w14:paraId="39E18E0A" w14:textId="7A48C178" w:rsidR="002805A9" w:rsidRDefault="002805A9" w:rsidP="001D21BD">
      <w:pPr>
        <w:numPr>
          <w:ilvl w:val="0"/>
          <w:numId w:val="14"/>
        </w:numPr>
      </w:pPr>
      <w:r>
        <w:t xml:space="preserve">Que des personnes aînées </w:t>
      </w:r>
      <w:r w:rsidR="00A90EAC" w:rsidRPr="00A90EAC">
        <w:t>et des personnes</w:t>
      </w:r>
      <w:r>
        <w:t xml:space="preserve"> ayant des limitations fonctionnelles prennent part au processus de validation de la signalisation et des normes graphiques </w:t>
      </w:r>
      <w:r w:rsidR="001D21BD">
        <w:t xml:space="preserve">ainsi </w:t>
      </w:r>
      <w:r>
        <w:t xml:space="preserve">développées. </w:t>
      </w:r>
    </w:p>
    <w:p w14:paraId="1D12F4CB" w14:textId="5F8C657D" w:rsidR="00B45800" w:rsidRPr="00BB0B6F" w:rsidRDefault="00674943" w:rsidP="00BB0B6F">
      <w:pPr>
        <w:pStyle w:val="Heading2"/>
      </w:pPr>
      <w:bookmarkStart w:id="24" w:name="_Toc30437417"/>
      <w:r>
        <w:t>Repérage</w:t>
      </w:r>
      <w:bookmarkEnd w:id="24"/>
      <w:r>
        <w:t xml:space="preserve"> </w:t>
      </w:r>
    </w:p>
    <w:p w14:paraId="7B45DD72" w14:textId="0FA699F1" w:rsidR="00A83D97" w:rsidRDefault="00701EA7" w:rsidP="00B45800">
      <w:r>
        <w:t xml:space="preserve">Bien qu’une signalisation </w:t>
      </w:r>
      <w:r w:rsidR="003011BE">
        <w:t xml:space="preserve">efficace </w:t>
      </w:r>
      <w:r>
        <w:t xml:space="preserve">soit indispensable pour permettre aux personnes d’identifier la fonction des contenants des </w:t>
      </w:r>
      <w:r w:rsidR="008B658D">
        <w:t>îlot</w:t>
      </w:r>
      <w:r>
        <w:t xml:space="preserve">s de récupération, ou encore pour </w:t>
      </w:r>
      <w:r w:rsidR="003011BE">
        <w:t>repérer</w:t>
      </w:r>
      <w:r>
        <w:t xml:space="preserve"> une </w:t>
      </w:r>
      <w:r w:rsidRPr="003D010F">
        <w:t xml:space="preserve">boîte de dons de textiles </w:t>
      </w:r>
      <w:r w:rsidR="0052461D" w:rsidRPr="003D010F">
        <w:t xml:space="preserve">sur le domaine public </w:t>
      </w:r>
      <w:r w:rsidRPr="003D010F">
        <w:t xml:space="preserve">ou une fontaine d’eau potable </w:t>
      </w:r>
      <w:r w:rsidR="00B2258F" w:rsidRPr="003D010F">
        <w:t xml:space="preserve">dans un édifice municipal </w:t>
      </w:r>
      <w:r w:rsidR="0052461D" w:rsidRPr="003D010F">
        <w:t>(cf. : actions 1.3.1 et 5.</w:t>
      </w:r>
      <w:r w:rsidR="0052461D">
        <w:t>2.3)</w:t>
      </w:r>
      <w:r>
        <w:t xml:space="preserve">, </w:t>
      </w:r>
      <w:r w:rsidR="001E189C">
        <w:t>des solutions alternatives devront être mise</w:t>
      </w:r>
      <w:r w:rsidR="00586DB4">
        <w:t>s</w:t>
      </w:r>
      <w:r w:rsidR="001E189C">
        <w:t xml:space="preserve"> en place pour permettre à</w:t>
      </w:r>
      <w:r w:rsidR="00A83D97">
        <w:t xml:space="preserve"> tous</w:t>
      </w:r>
      <w:r>
        <w:t xml:space="preserve">, notamment </w:t>
      </w:r>
      <w:r w:rsidR="00A83D97">
        <w:t xml:space="preserve">aux personnes </w:t>
      </w:r>
      <w:r>
        <w:t>ayant une déficience visuelle</w:t>
      </w:r>
      <w:r w:rsidR="003011BE">
        <w:t>,</w:t>
      </w:r>
      <w:r>
        <w:t xml:space="preserve"> </w:t>
      </w:r>
      <w:r w:rsidR="001E189C">
        <w:t xml:space="preserve">de </w:t>
      </w:r>
      <w:r w:rsidR="001D3E9A">
        <w:t xml:space="preserve">trouver </w:t>
      </w:r>
      <w:r w:rsidR="00EE273E">
        <w:t>ces équipements</w:t>
      </w:r>
      <w:r w:rsidR="001E189C">
        <w:t xml:space="preserve"> en toute autonomie.</w:t>
      </w:r>
      <w:r w:rsidR="00FF5CFB">
        <w:t xml:space="preserve"> </w:t>
      </w:r>
    </w:p>
    <w:p w14:paraId="424D461D" w14:textId="4FFF7A5E" w:rsidR="00B45800" w:rsidRDefault="00CD7607" w:rsidP="00B45800">
      <w:r>
        <w:t>Ainsi</w:t>
      </w:r>
      <w:r w:rsidR="00B45800" w:rsidRPr="00DA24A5">
        <w:t xml:space="preserve">, une boîte de </w:t>
      </w:r>
      <w:r w:rsidR="001E189C">
        <w:t xml:space="preserve">dons </w:t>
      </w:r>
      <w:r w:rsidR="00B2258F">
        <w:t xml:space="preserve">ou une fontaine </w:t>
      </w:r>
      <w:r w:rsidR="00FF5CFB">
        <w:t xml:space="preserve">pourrait </w:t>
      </w:r>
      <w:r w:rsidR="00B45800" w:rsidRPr="00DA24A5">
        <w:t xml:space="preserve">être </w:t>
      </w:r>
      <w:r w:rsidR="001E189C">
        <w:t>repérable</w:t>
      </w:r>
      <w:r w:rsidR="00B45800" w:rsidRPr="00DA24A5">
        <w:t xml:space="preserve">, </w:t>
      </w:r>
      <w:r>
        <w:t xml:space="preserve">notamment </w:t>
      </w:r>
      <w:r w:rsidR="00FF5CFB">
        <w:t xml:space="preserve">par </w:t>
      </w:r>
      <w:r w:rsidR="00B45800" w:rsidRPr="00DA24A5">
        <w:t xml:space="preserve">une application </w:t>
      </w:r>
      <w:r w:rsidR="00FF5CFB">
        <w:t>mobile</w:t>
      </w:r>
      <w:r w:rsidR="00140DDD">
        <w:t xml:space="preserve"> (cf. : applications utilisées pour le repérage des voitures en libre</w:t>
      </w:r>
      <w:r w:rsidR="00F2239C">
        <w:t>-</w:t>
      </w:r>
      <w:r w:rsidR="00F2239C">
        <w:lastRenderedPageBreak/>
        <w:t>service</w:t>
      </w:r>
      <w:r w:rsidR="00140DDD">
        <w:t xml:space="preserve">). </w:t>
      </w:r>
      <w:r w:rsidR="006960B5">
        <w:t xml:space="preserve">Par exemple, une balise jumelée à une application mobile </w:t>
      </w:r>
      <w:r w:rsidR="00F2239C">
        <w:t xml:space="preserve">pourrait non seulement permettre </w:t>
      </w:r>
      <w:r w:rsidR="006960B5">
        <w:t xml:space="preserve">aux personnes </w:t>
      </w:r>
      <w:r w:rsidR="00F2239C">
        <w:t xml:space="preserve">ayant une déficience visuelle </w:t>
      </w:r>
      <w:r w:rsidR="006960B5">
        <w:t xml:space="preserve">de repérer </w:t>
      </w:r>
      <w:r w:rsidR="008F5947">
        <w:t xml:space="preserve">avec précision </w:t>
      </w:r>
      <w:r w:rsidR="006960B5">
        <w:t xml:space="preserve">l’emplacement </w:t>
      </w:r>
      <w:r w:rsidR="00F2239C">
        <w:t xml:space="preserve">d’une boîte de dons ou d’une fontaine, mais également </w:t>
      </w:r>
      <w:r w:rsidR="00B45800" w:rsidRPr="00DA24A5">
        <w:t xml:space="preserve">aux personnes ne pouvant se déplacer </w:t>
      </w:r>
      <w:r w:rsidR="0096525E">
        <w:t xml:space="preserve">aisément </w:t>
      </w:r>
      <w:r w:rsidR="00B45800" w:rsidRPr="00DA24A5">
        <w:t xml:space="preserve">sur de grandes distances </w:t>
      </w:r>
      <w:r w:rsidR="00A83D97">
        <w:t xml:space="preserve">de localiser </w:t>
      </w:r>
      <w:r w:rsidR="00B45800" w:rsidRPr="00DA24A5">
        <w:t xml:space="preserve">la </w:t>
      </w:r>
      <w:r w:rsidR="00A83D97">
        <w:t xml:space="preserve">boîte de dons la </w:t>
      </w:r>
      <w:r w:rsidR="00B45800" w:rsidRPr="00DA24A5">
        <w:t>plus proche</w:t>
      </w:r>
      <w:r w:rsidR="00A83D97">
        <w:t xml:space="preserve"> de leur domicile ou la fontaine la plus proche de leur position courante</w:t>
      </w:r>
      <w:r w:rsidR="0052461D">
        <w:t>, lors de leur</w:t>
      </w:r>
      <w:r w:rsidR="008B658D">
        <w:t>s</w:t>
      </w:r>
      <w:r w:rsidR="0052461D">
        <w:t xml:space="preserve"> déplacement</w:t>
      </w:r>
      <w:r w:rsidR="008B658D">
        <w:t>s</w:t>
      </w:r>
      <w:r w:rsidR="0052461D">
        <w:t xml:space="preserve"> </w:t>
      </w:r>
      <w:r w:rsidR="00B2258F">
        <w:t xml:space="preserve">sur le domaine </w:t>
      </w:r>
      <w:r w:rsidR="0052461D">
        <w:t xml:space="preserve">public ou dans un édifice municipal. </w:t>
      </w:r>
    </w:p>
    <w:p w14:paraId="2987AF5D" w14:textId="77777777" w:rsidR="00A83D97" w:rsidRDefault="00B2258F" w:rsidP="00B45800">
      <w:r>
        <w:t xml:space="preserve">Recommandation : </w:t>
      </w:r>
    </w:p>
    <w:p w14:paraId="555F3AAE" w14:textId="658E3B29" w:rsidR="00B2258F" w:rsidRDefault="00B2258F" w:rsidP="005412DE">
      <w:pPr>
        <w:numPr>
          <w:ilvl w:val="0"/>
          <w:numId w:val="14"/>
        </w:numPr>
      </w:pPr>
      <w:r>
        <w:t>Qu</w:t>
      </w:r>
      <w:r w:rsidR="00BD54E1">
        <w:t>e</w:t>
      </w:r>
      <w:r w:rsidR="008B658D">
        <w:t>,</w:t>
      </w:r>
      <w:r w:rsidR="00BD54E1">
        <w:t xml:space="preserve"> parallèlement au processus d’élaboration </w:t>
      </w:r>
      <w:r w:rsidR="005412DE">
        <w:t xml:space="preserve">de la </w:t>
      </w:r>
      <w:r w:rsidR="00BD54E1">
        <w:t>signalisation et de</w:t>
      </w:r>
      <w:r w:rsidR="005412DE">
        <w:t>s</w:t>
      </w:r>
      <w:r w:rsidR="00BD54E1">
        <w:t xml:space="preserve"> normes graphiques, des travaux soient menés pour mettre en place des solutions alternatives qui permettront à tous les citoyens</w:t>
      </w:r>
      <w:r w:rsidR="00586DB4">
        <w:t xml:space="preserve"> et citoyennes</w:t>
      </w:r>
      <w:r w:rsidR="00BD54E1">
        <w:t xml:space="preserve">, y compris </w:t>
      </w:r>
      <w:r w:rsidR="00B842E2">
        <w:t xml:space="preserve">aux </w:t>
      </w:r>
      <w:r w:rsidR="00BD54E1">
        <w:t xml:space="preserve">personnes ayant une déficience visuelle, </w:t>
      </w:r>
      <w:r w:rsidR="00B842E2">
        <w:t xml:space="preserve">de repérer </w:t>
      </w:r>
      <w:r w:rsidR="00BD54E1">
        <w:t xml:space="preserve">tous les équipements </w:t>
      </w:r>
      <w:r w:rsidR="00527AF4">
        <w:t xml:space="preserve">collectifs </w:t>
      </w:r>
      <w:r w:rsidR="00BD54E1">
        <w:t xml:space="preserve">(ex. : îlots de récupération, </w:t>
      </w:r>
      <w:r w:rsidR="00BD54E1" w:rsidRPr="003D010F">
        <w:t>boîtes de dons de textiles, fontaines</w:t>
      </w:r>
      <w:r w:rsidR="00BD54E1">
        <w:t xml:space="preserve"> d’eau potable</w:t>
      </w:r>
      <w:r w:rsidR="00EE273E">
        <w:t>)</w:t>
      </w:r>
      <w:r w:rsidR="00EE273E" w:rsidRPr="00B842E2">
        <w:t>,</w:t>
      </w:r>
      <w:r w:rsidR="00B842E2">
        <w:t xml:space="preserve"> en toute autonomie</w:t>
      </w:r>
      <w:r w:rsidR="00BD54E1">
        <w:t xml:space="preserve">. </w:t>
      </w:r>
    </w:p>
    <w:p w14:paraId="415B1262" w14:textId="53114DF2" w:rsidR="00BD6078" w:rsidRDefault="00E86A7E" w:rsidP="00BD6078">
      <w:pPr>
        <w:pStyle w:val="Heading1"/>
      </w:pPr>
      <w:bookmarkStart w:id="25" w:name="_Toc30437418"/>
      <w:r>
        <w:t>Design et aménagement urbain</w:t>
      </w:r>
      <w:bookmarkEnd w:id="25"/>
      <w:r>
        <w:t xml:space="preserve"> </w:t>
      </w:r>
    </w:p>
    <w:p w14:paraId="5DDD0607" w14:textId="30347E90" w:rsidR="00BD6078" w:rsidRDefault="00BD6078" w:rsidP="00BD6078">
      <w:r>
        <w:t xml:space="preserve">De nombreuses actions du Plan reposent sur </w:t>
      </w:r>
      <w:r w:rsidR="00A31510">
        <w:t>l</w:t>
      </w:r>
      <w:r>
        <w:t>’aménagement</w:t>
      </w:r>
      <w:r w:rsidR="00A31510">
        <w:t xml:space="preserve"> </w:t>
      </w:r>
      <w:r>
        <w:t>de structures dédiées à la collecte des matières récupérables, recyclables ou réutilisables</w:t>
      </w:r>
      <w:r w:rsidR="00A31510">
        <w:t>, tant à l’extérieur qu’à l’intérieur</w:t>
      </w:r>
      <w:r>
        <w:t xml:space="preserve">. C’est pourquoi la Ville devra veiller à ce que </w:t>
      </w:r>
      <w:r w:rsidR="00E86A7E">
        <w:t xml:space="preserve">tous </w:t>
      </w:r>
      <w:r w:rsidR="00080C17">
        <w:t xml:space="preserve">les équipements </w:t>
      </w:r>
      <w:r w:rsidR="002C65FF">
        <w:t xml:space="preserve">collectifs </w:t>
      </w:r>
      <w:r w:rsidR="00080C17">
        <w:t xml:space="preserve">et </w:t>
      </w:r>
      <w:r w:rsidR="00E86A7E">
        <w:t xml:space="preserve">installations </w:t>
      </w:r>
      <w:r>
        <w:t>soient inclusi</w:t>
      </w:r>
      <w:r w:rsidR="004F73FB">
        <w:t>f</w:t>
      </w:r>
      <w:r>
        <w:t xml:space="preserve">s, </w:t>
      </w:r>
      <w:r w:rsidR="00E86A7E">
        <w:t xml:space="preserve">pour pouvoir </w:t>
      </w:r>
      <w:r>
        <w:t xml:space="preserve">être utilisés par tous les citoyens </w:t>
      </w:r>
      <w:r w:rsidR="00AA620D">
        <w:t xml:space="preserve">et </w:t>
      </w:r>
      <w:r w:rsidR="00E86A7E">
        <w:t>citoyennes</w:t>
      </w:r>
      <w:r>
        <w:t>, quel</w:t>
      </w:r>
      <w:r w:rsidR="008C1CFE">
        <w:t>s</w:t>
      </w:r>
      <w:r>
        <w:t xml:space="preserve"> que soi</w:t>
      </w:r>
      <w:r w:rsidR="008C1CFE">
        <w:t>en</w:t>
      </w:r>
      <w:r>
        <w:t>t leur âge</w:t>
      </w:r>
      <w:r w:rsidR="00E86A7E">
        <w:t>,</w:t>
      </w:r>
      <w:r>
        <w:t xml:space="preserve"> leurs incapacités</w:t>
      </w:r>
      <w:r w:rsidR="00E86A7E">
        <w:t xml:space="preserve"> ou le moyen utilisé pour y accéder</w:t>
      </w:r>
      <w:r>
        <w:t xml:space="preserve">. </w:t>
      </w:r>
    </w:p>
    <w:p w14:paraId="3520F059" w14:textId="7A6249C7" w:rsidR="0072437B" w:rsidRDefault="0072437B" w:rsidP="00BD6078">
      <w:r>
        <w:t xml:space="preserve">Recommandation : </w:t>
      </w:r>
    </w:p>
    <w:p w14:paraId="27B540F2" w14:textId="5EAC902C" w:rsidR="0072437B" w:rsidRPr="003D010F" w:rsidRDefault="0072437B" w:rsidP="008B07A7">
      <w:pPr>
        <w:numPr>
          <w:ilvl w:val="0"/>
          <w:numId w:val="14"/>
        </w:numPr>
      </w:pPr>
      <w:r w:rsidRPr="00FA6E42">
        <w:t>Que des organismes de personnes ayant des limitations fonctionnelles, qui possèdent une expertise dans ce domaine, prennent part à toutes les étapes du processus</w:t>
      </w:r>
      <w:r>
        <w:t xml:space="preserve"> d’élaboration des critères de conception, </w:t>
      </w:r>
      <w:r w:rsidR="00EE273E">
        <w:t>d’installation et</w:t>
      </w:r>
      <w:r>
        <w:t xml:space="preserve"> d’évaluation de</w:t>
      </w:r>
      <w:r w:rsidR="0004612F">
        <w:t xml:space="preserve">s équipements </w:t>
      </w:r>
      <w:r w:rsidR="002C65FF">
        <w:t xml:space="preserve">collectifs </w:t>
      </w:r>
      <w:r w:rsidR="0004612F">
        <w:t xml:space="preserve">comme les </w:t>
      </w:r>
      <w:r w:rsidR="008B658D">
        <w:t>îlot</w:t>
      </w:r>
      <w:r w:rsidR="0004612F">
        <w:t xml:space="preserve">s de récupération, les </w:t>
      </w:r>
      <w:r w:rsidR="0004612F" w:rsidRPr="003D010F">
        <w:t>boîtes de dons de textiles ou les fontaines d’eau potable</w:t>
      </w:r>
      <w:r w:rsidRPr="003D010F">
        <w:t xml:space="preserve">. </w:t>
      </w:r>
    </w:p>
    <w:p w14:paraId="0E252149" w14:textId="13C2720E" w:rsidR="00080C17" w:rsidRDefault="00080C17" w:rsidP="00BD6078">
      <w:pPr>
        <w:pStyle w:val="Heading2"/>
      </w:pPr>
      <w:bookmarkStart w:id="26" w:name="_Toc30437419"/>
      <w:r>
        <w:t>Conception des équipements</w:t>
      </w:r>
      <w:bookmarkEnd w:id="26"/>
    </w:p>
    <w:p w14:paraId="569F2281" w14:textId="03F79BCD" w:rsidR="003B5415" w:rsidRDefault="003B5415" w:rsidP="003B5415">
      <w:r>
        <w:t>L</w:t>
      </w:r>
      <w:r w:rsidRPr="002C0622">
        <w:t xml:space="preserve">es critères </w:t>
      </w:r>
      <w:r>
        <w:t xml:space="preserve">de conception </w:t>
      </w:r>
      <w:r w:rsidRPr="002C0622">
        <w:t xml:space="preserve">des îlots de récupération </w:t>
      </w:r>
      <w:r>
        <w:t xml:space="preserve">(cf. : action 3.1.1) et de tout autre équipement collectif, ainsi que la réglementation encadrant les boîtes de dons de textiles (cf. : action 1.3.1), </w:t>
      </w:r>
      <w:r w:rsidRPr="002C0622">
        <w:t xml:space="preserve">devront </w:t>
      </w:r>
      <w:r>
        <w:t>permettre à tous l</w:t>
      </w:r>
      <w:r w:rsidRPr="002C0622">
        <w:t>es citoyens</w:t>
      </w:r>
      <w:r>
        <w:t xml:space="preserve"> et citoyennes</w:t>
      </w:r>
      <w:r w:rsidRPr="002C0622">
        <w:t xml:space="preserve">, y compris </w:t>
      </w:r>
      <w:r>
        <w:t xml:space="preserve">aux personnes </w:t>
      </w:r>
      <w:r w:rsidRPr="002C0622">
        <w:t>aîné</w:t>
      </w:r>
      <w:r>
        <w:t>e</w:t>
      </w:r>
      <w:r w:rsidRPr="002C0622">
        <w:t xml:space="preserve">s </w:t>
      </w:r>
      <w:r>
        <w:t xml:space="preserve">ou </w:t>
      </w:r>
      <w:r w:rsidRPr="002C0622">
        <w:t>ayant des limitations fonctionnelles</w:t>
      </w:r>
      <w:r>
        <w:t xml:space="preserve"> (ex. : personnes se déplaçant en fauteuil, personnes de petite taille ou ayant une déficience visuelle) de s’en approcher aisément et d’en manipuler les composantes, afin de pouvoir réaliser</w:t>
      </w:r>
      <w:r w:rsidR="00282009">
        <w:t xml:space="preserve">, </w:t>
      </w:r>
      <w:r w:rsidR="00282009">
        <w:lastRenderedPageBreak/>
        <w:t>en toute autonomie et en toute sécurité,</w:t>
      </w:r>
      <w:r>
        <w:t xml:space="preserve"> les activités auxquelles ces équipements sont destinés. </w:t>
      </w:r>
    </w:p>
    <w:p w14:paraId="2A5591DB" w14:textId="73B583FF" w:rsidR="00733641" w:rsidRDefault="003B5415" w:rsidP="003B5415">
      <w:r>
        <w:t xml:space="preserve">Par exemple, pour une fontaine d’eau potable (cf. : action 5.2.3), les critères à considérer sont notamment le dégagement sous la fontaine, la hauteur du bec, la forme et l’emplacement des contrôles permettant de l’actionner, ainsi que la présence de points d’eau pour que les chiens, notamment les chiens guide ou les chiens d’assistance, puissent s’y abreuver. </w:t>
      </w:r>
      <w:r w:rsidR="00733641">
        <w:t>Au demeurant, des fontaines « double usage », qui permettent de remplir des bouteilles, mais aussi de s’y abreuver directement, seront requises pour répondre aux besoins du plus grand nombre.</w:t>
      </w:r>
    </w:p>
    <w:p w14:paraId="1BF9F912" w14:textId="77777777" w:rsidR="003B5415" w:rsidRDefault="003B5415" w:rsidP="003B5415">
      <w:r>
        <w:t xml:space="preserve">En outre, les composantes de tous les équipements devront être aisément détectables par une personne ayant une limitation visuelle se déplaçant avec une canne blanche, et ne pas présenter de saillie dangereuse. </w:t>
      </w:r>
    </w:p>
    <w:p w14:paraId="5FD4EA39" w14:textId="1BC7A70D" w:rsidR="003B5415" w:rsidRDefault="003B5415" w:rsidP="003B5415">
      <w:r>
        <w:t xml:space="preserve">Par ailleurs, le choix d’une couleur unique par type d’équipement contribuera à faciliter leur repérage et la compréhension de leur usage. </w:t>
      </w:r>
    </w:p>
    <w:p w14:paraId="062A7FE0" w14:textId="3D2D610F" w:rsidR="003B5415" w:rsidRDefault="003B5415" w:rsidP="003B5415">
      <w:r>
        <w:t xml:space="preserve">Enfin, tous les équipements devront faire l’objet d’une conception soignée, et s’inscrire dans le récent </w:t>
      </w:r>
      <w:r w:rsidRPr="001F6C95">
        <w:t>Agenda montréalais 2030 pour la qualité et l’exemplarité en design et en architecture</w:t>
      </w:r>
      <w:r w:rsidR="001F6C95">
        <w:rPr>
          <w:rStyle w:val="FootnoteReference"/>
        </w:rPr>
        <w:footnoteReference w:id="26"/>
      </w:r>
      <w:r>
        <w:t>.</w:t>
      </w:r>
    </w:p>
    <w:p w14:paraId="259E4DF1" w14:textId="0B8E2CBD" w:rsidR="00080C17" w:rsidRDefault="003B5415" w:rsidP="00080C17">
      <w:r>
        <w:t xml:space="preserve">Recommandations : </w:t>
      </w:r>
    </w:p>
    <w:p w14:paraId="15FD8699" w14:textId="149010CE" w:rsidR="003F4D0D" w:rsidRDefault="003F4D0D" w:rsidP="0072437B">
      <w:pPr>
        <w:numPr>
          <w:ilvl w:val="0"/>
          <w:numId w:val="14"/>
        </w:numPr>
      </w:pPr>
      <w:r>
        <w:t xml:space="preserve">Que </w:t>
      </w:r>
      <w:r w:rsidR="00BF3731">
        <w:t>les critères de conception d</w:t>
      </w:r>
      <w:r>
        <w:t xml:space="preserve">es </w:t>
      </w:r>
      <w:r w:rsidR="008B658D">
        <w:t>îlot</w:t>
      </w:r>
      <w:r>
        <w:t xml:space="preserve">s de récupération, </w:t>
      </w:r>
      <w:r w:rsidR="00BF3731">
        <w:t>d</w:t>
      </w:r>
      <w:r>
        <w:t xml:space="preserve">es boîtes de dons de textiles, </w:t>
      </w:r>
      <w:r w:rsidR="00BF3731">
        <w:t>d</w:t>
      </w:r>
      <w:r>
        <w:t xml:space="preserve">es fontaines d’eau potable et </w:t>
      </w:r>
      <w:r w:rsidR="00BF3731">
        <w:t>de tou</w:t>
      </w:r>
      <w:r w:rsidR="001676FB">
        <w:t>t</w:t>
      </w:r>
      <w:r w:rsidR="00BF3731">
        <w:t xml:space="preserve"> </w:t>
      </w:r>
      <w:r>
        <w:t>autre équipement collectif</w:t>
      </w:r>
      <w:r w:rsidR="0072437B">
        <w:t>,</w:t>
      </w:r>
      <w:r>
        <w:t xml:space="preserve"> </w:t>
      </w:r>
      <w:r w:rsidR="0072437B">
        <w:t xml:space="preserve">leur permettent d’être </w:t>
      </w:r>
      <w:r w:rsidR="00BF3731">
        <w:t xml:space="preserve">aisément utilisables par </w:t>
      </w:r>
      <w:r>
        <w:t xml:space="preserve">tous, y compris </w:t>
      </w:r>
      <w:r w:rsidR="00BF3731">
        <w:t xml:space="preserve">par les </w:t>
      </w:r>
      <w:r w:rsidRPr="00565660">
        <w:t xml:space="preserve">personnes </w:t>
      </w:r>
      <w:r>
        <w:t xml:space="preserve">aînées ou </w:t>
      </w:r>
      <w:r w:rsidRPr="00565660">
        <w:t>ayant des limitations fonctionnelles</w:t>
      </w:r>
      <w:r>
        <w:t>.</w:t>
      </w:r>
      <w:r w:rsidR="004300CC">
        <w:t xml:space="preserve"> </w:t>
      </w:r>
    </w:p>
    <w:p w14:paraId="0CFDCB54" w14:textId="3607C65D" w:rsidR="000440D4" w:rsidRPr="00080C17" w:rsidRDefault="0077026A" w:rsidP="008B07A7">
      <w:pPr>
        <w:numPr>
          <w:ilvl w:val="0"/>
          <w:numId w:val="14"/>
        </w:numPr>
      </w:pPr>
      <w:r>
        <w:t xml:space="preserve">Que </w:t>
      </w:r>
      <w:r w:rsidRPr="0077026A">
        <w:t xml:space="preserve">tous les équipements </w:t>
      </w:r>
      <w:r w:rsidR="0072437B">
        <w:t xml:space="preserve">collectifs </w:t>
      </w:r>
      <w:r w:rsidR="002C65FF">
        <w:t xml:space="preserve">(ex. : </w:t>
      </w:r>
      <w:r w:rsidR="008B658D">
        <w:t>îlot</w:t>
      </w:r>
      <w:r w:rsidR="002C65FF">
        <w:t xml:space="preserve">s de récupération, boîtes de dons de textiles, fontaines d’eau potable) </w:t>
      </w:r>
      <w:r w:rsidR="00EF69B5">
        <w:t>soient pris en compte</w:t>
      </w:r>
      <w:r w:rsidR="003D7EB8">
        <w:t xml:space="preserve"> </w:t>
      </w:r>
      <w:r w:rsidRPr="0077026A">
        <w:t xml:space="preserve">dans </w:t>
      </w:r>
      <w:r w:rsidRPr="00B251CB">
        <w:t>l’</w:t>
      </w:r>
      <w:r w:rsidRPr="00B251CB">
        <w:rPr>
          <w:i/>
        </w:rPr>
        <w:t>Agenda montréalais 2030 pour la qualité et l’exemplarité en design et en architecture</w:t>
      </w:r>
      <w:r>
        <w:t xml:space="preserve">. </w:t>
      </w:r>
    </w:p>
    <w:p w14:paraId="033D1EE0" w14:textId="4E894BBB" w:rsidR="00BD6078" w:rsidRDefault="00080C17" w:rsidP="00BD6078">
      <w:pPr>
        <w:pStyle w:val="Heading2"/>
      </w:pPr>
      <w:bookmarkStart w:id="27" w:name="_Toc30437420"/>
      <w:r>
        <w:t xml:space="preserve">Implantation </w:t>
      </w:r>
      <w:r w:rsidR="00BD6078">
        <w:t>extérieur</w:t>
      </w:r>
      <w:r>
        <w:t>e</w:t>
      </w:r>
      <w:bookmarkEnd w:id="27"/>
      <w:r w:rsidR="00BD6078">
        <w:t xml:space="preserve"> </w:t>
      </w:r>
    </w:p>
    <w:p w14:paraId="6A50990E" w14:textId="2C92B16A" w:rsidR="00B41341" w:rsidRDefault="002F59B9" w:rsidP="00772150">
      <w:r>
        <w:t>Considérant que</w:t>
      </w:r>
      <w:r w:rsidR="005E6F6D">
        <w:t xml:space="preserve"> </w:t>
      </w:r>
      <w:r>
        <w:t xml:space="preserve">la notion de proximité est un facteur essentiel </w:t>
      </w:r>
      <w:r w:rsidR="00E64688">
        <w:t xml:space="preserve">à l’utilisation </w:t>
      </w:r>
      <w:r>
        <w:t>de</w:t>
      </w:r>
      <w:r w:rsidR="00E64688">
        <w:t>s</w:t>
      </w:r>
      <w:r>
        <w:t xml:space="preserve"> </w:t>
      </w:r>
      <w:r w:rsidR="00205BCE">
        <w:t xml:space="preserve">équipements collectifs (ex. : </w:t>
      </w:r>
      <w:r w:rsidR="008B658D">
        <w:t>îlot</w:t>
      </w:r>
      <w:r w:rsidR="00205BCE">
        <w:t xml:space="preserve">s de récupération, </w:t>
      </w:r>
      <w:r w:rsidR="00205BCE" w:rsidRPr="003D010F">
        <w:t>boîtes de dons de textiles, fontaines</w:t>
      </w:r>
      <w:r w:rsidR="00205BCE">
        <w:t xml:space="preserve"> d’eau potable) </w:t>
      </w:r>
      <w:r w:rsidR="00E64688">
        <w:t>par tous les citoyens</w:t>
      </w:r>
      <w:r w:rsidR="008C1CFE">
        <w:t xml:space="preserve"> et citoyennes</w:t>
      </w:r>
      <w:r w:rsidR="00E64688">
        <w:t xml:space="preserve">, ces équipements </w:t>
      </w:r>
      <w:r w:rsidR="00205BCE">
        <w:t xml:space="preserve">devront </w:t>
      </w:r>
      <w:r w:rsidR="00D368F2">
        <w:t xml:space="preserve">être suffisamment nombreux, et </w:t>
      </w:r>
      <w:r w:rsidR="00205BCE">
        <w:t xml:space="preserve">trouver leur place dans l’espace public. </w:t>
      </w:r>
      <w:r>
        <w:t>Or, le domaine public, notamment les trottoirs, sont déjà très largement encombrés par le mobilier urbain</w:t>
      </w:r>
      <w:r w:rsidR="009B1351">
        <w:t xml:space="preserve"> </w:t>
      </w:r>
      <w:r w:rsidR="008C1CFE">
        <w:t>(ex. : abribus, boîtes aux</w:t>
      </w:r>
      <w:r w:rsidR="00BD4440">
        <w:t xml:space="preserve"> lettres, bornes de</w:t>
      </w:r>
      <w:r w:rsidR="004119BA">
        <w:t xml:space="preserve"> paiement</w:t>
      </w:r>
      <w:r w:rsidR="00BD4440">
        <w:t>, bancs, bacs à fleurs</w:t>
      </w:r>
      <w:r w:rsidR="00B500C0">
        <w:t xml:space="preserve">, </w:t>
      </w:r>
      <w:r w:rsidR="00B500C0">
        <w:lastRenderedPageBreak/>
        <w:t>cafés-terrasses</w:t>
      </w:r>
      <w:r w:rsidR="00BD4440">
        <w:t xml:space="preserve">) </w:t>
      </w:r>
      <w:r w:rsidR="009B1351">
        <w:t xml:space="preserve">et par les </w:t>
      </w:r>
      <w:r w:rsidR="00BD4440">
        <w:t xml:space="preserve">nombreux </w:t>
      </w:r>
      <w:r w:rsidR="00B500C0">
        <w:t xml:space="preserve">véhicules non immatriculés en libre-service </w:t>
      </w:r>
      <w:r w:rsidR="00BD4440">
        <w:t xml:space="preserve">(ex. : vélos, trottinettes) </w:t>
      </w:r>
      <w:r w:rsidR="009B1351">
        <w:t xml:space="preserve">qui </w:t>
      </w:r>
      <w:r w:rsidR="00BD4440">
        <w:t xml:space="preserve">se sont </w:t>
      </w:r>
      <w:r w:rsidR="009B1351">
        <w:t>multiplié</w:t>
      </w:r>
      <w:r w:rsidR="00BD4440">
        <w:t>s</w:t>
      </w:r>
      <w:r w:rsidR="009B1351">
        <w:t xml:space="preserve"> dans les dernières années. </w:t>
      </w:r>
      <w:r w:rsidR="004119BA">
        <w:t xml:space="preserve">Cependant, le domaine public, surtout dans un contexte urbain à </w:t>
      </w:r>
      <w:r w:rsidR="003D1045">
        <w:t xml:space="preserve">forte densité populationnelle, </w:t>
      </w:r>
      <w:r w:rsidR="004119BA">
        <w:t xml:space="preserve">n’a pas été </w:t>
      </w:r>
      <w:r w:rsidR="00D368F2">
        <w:t xml:space="preserve">conçu </w:t>
      </w:r>
      <w:r w:rsidR="004119BA">
        <w:t>pour accueillir de si nombreux équipement</w:t>
      </w:r>
      <w:r w:rsidR="00AA620D">
        <w:t>s</w:t>
      </w:r>
      <w:r w:rsidR="004119BA">
        <w:t xml:space="preserve">, </w:t>
      </w:r>
      <w:r w:rsidR="005E6F6D">
        <w:t>et les déplacements, notamment des piétons</w:t>
      </w:r>
      <w:r w:rsidR="005E6F6D" w:rsidRPr="003A25EA">
        <w:t>, risque</w:t>
      </w:r>
      <w:r w:rsidR="00AA620D" w:rsidRPr="003A25EA">
        <w:t>nt</w:t>
      </w:r>
      <w:r w:rsidR="005E6F6D" w:rsidRPr="003A25EA">
        <w:t xml:space="preserve"> de devenir</w:t>
      </w:r>
      <w:r w:rsidR="00DD0905" w:rsidRPr="003A25EA">
        <w:t xml:space="preserve"> hasardeux</w:t>
      </w:r>
      <w:r w:rsidR="005E6F6D" w:rsidRPr="003A25EA">
        <w:t>, voire</w:t>
      </w:r>
      <w:r w:rsidR="005E6F6D">
        <w:t xml:space="preserve"> dangereux, si </w:t>
      </w:r>
      <w:r w:rsidR="00507C0F">
        <w:t xml:space="preserve">des corridors de circulation </w:t>
      </w:r>
      <w:r w:rsidR="005E6F6D">
        <w:t xml:space="preserve">sans obstacle </w:t>
      </w:r>
      <w:r w:rsidR="00507C0F">
        <w:t xml:space="preserve">ne sont </w:t>
      </w:r>
      <w:r w:rsidR="005E6F6D">
        <w:t>pas</w:t>
      </w:r>
      <w:r w:rsidR="00507C0F">
        <w:t xml:space="preserve"> préservés</w:t>
      </w:r>
      <w:r w:rsidR="005E6F6D">
        <w:t xml:space="preserve">. </w:t>
      </w:r>
      <w:r w:rsidR="00D368F2">
        <w:t>En outre, pour permettre des opération</w:t>
      </w:r>
      <w:r w:rsidR="003D1045">
        <w:t>s</w:t>
      </w:r>
      <w:r w:rsidR="00D368F2">
        <w:t xml:space="preserve"> de déneigement et de déglaçage efficaces, le domaine public ne saurait être plus encombré qu’il ne l’est déjà. </w:t>
      </w:r>
      <w:r w:rsidR="00B41341">
        <w:t xml:space="preserve">Dans ce contexte, </w:t>
      </w:r>
      <w:r w:rsidR="00DD522A">
        <w:t xml:space="preserve">une </w:t>
      </w:r>
      <w:r w:rsidR="00046BFB">
        <w:t xml:space="preserve">révision du partage </w:t>
      </w:r>
      <w:r w:rsidR="00B41341">
        <w:t xml:space="preserve">des espaces alloués aux véhicules et aux piétons sera une condition essentielle pour </w:t>
      </w:r>
      <w:r w:rsidR="001D1E22">
        <w:t xml:space="preserve">faire face à </w:t>
      </w:r>
      <w:r w:rsidR="00B41341">
        <w:t>la multiplication des équipements nécessaire</w:t>
      </w:r>
      <w:r w:rsidR="0021739D">
        <w:t>s</w:t>
      </w:r>
      <w:r w:rsidR="00B41341">
        <w:t xml:space="preserve"> </w:t>
      </w:r>
      <w:r w:rsidR="00AB1953">
        <w:t xml:space="preserve">au développement </w:t>
      </w:r>
      <w:r w:rsidR="005D55D3">
        <w:t>d’</w:t>
      </w:r>
      <w:r w:rsidR="00B41341">
        <w:t>une ville plus durable</w:t>
      </w:r>
      <w:r w:rsidR="00AB1953">
        <w:t xml:space="preserve">, à échelle </w:t>
      </w:r>
      <w:r w:rsidR="00B41341">
        <w:t>humaine.</w:t>
      </w:r>
    </w:p>
    <w:p w14:paraId="6675D083" w14:textId="220F6DEC" w:rsidR="00772150" w:rsidRPr="002C0622" w:rsidRDefault="00733641" w:rsidP="00772150">
      <w:r>
        <w:t>Par ailleurs, l</w:t>
      </w:r>
      <w:r w:rsidR="00772150" w:rsidRPr="002C0622">
        <w:t xml:space="preserve">es critères d’installation en bordure de rue des îlots de récupération </w:t>
      </w:r>
      <w:r w:rsidR="00772150">
        <w:t>(cf. : action 3.1.1)</w:t>
      </w:r>
      <w:r w:rsidR="00B41DD9">
        <w:t xml:space="preserve"> ou de tout autre équipement collectif</w:t>
      </w:r>
      <w:r w:rsidR="00772150">
        <w:t xml:space="preserve">, ainsi que la réglementation encadrant les </w:t>
      </w:r>
      <w:r w:rsidR="00772150" w:rsidRPr="003D010F">
        <w:t>boîtes de dons pour les textiles (cf. : action</w:t>
      </w:r>
      <w:r w:rsidR="00772150">
        <w:t xml:space="preserve"> 1.3.1)</w:t>
      </w:r>
      <w:r w:rsidR="00205BCE">
        <w:t xml:space="preserve"> </w:t>
      </w:r>
      <w:r w:rsidR="00772150" w:rsidRPr="002C0622">
        <w:t xml:space="preserve">devront permettre à tous </w:t>
      </w:r>
      <w:r w:rsidR="00205BCE">
        <w:t>l</w:t>
      </w:r>
      <w:r w:rsidR="00772150" w:rsidRPr="002C0622">
        <w:t>es citoyens</w:t>
      </w:r>
      <w:r w:rsidR="009D3239">
        <w:t xml:space="preserve"> et citoyennes</w:t>
      </w:r>
      <w:r w:rsidR="00772150" w:rsidRPr="002C0622">
        <w:t xml:space="preserve">, y compris </w:t>
      </w:r>
      <w:r w:rsidR="00D05788">
        <w:t xml:space="preserve">aux </w:t>
      </w:r>
      <w:r w:rsidR="00DD0905">
        <w:t xml:space="preserve">personnes </w:t>
      </w:r>
      <w:r w:rsidR="00772150" w:rsidRPr="002C0622">
        <w:t>aîné</w:t>
      </w:r>
      <w:r w:rsidR="00DD0905">
        <w:t>e</w:t>
      </w:r>
      <w:r w:rsidR="00772150" w:rsidRPr="002C0622">
        <w:t xml:space="preserve">s </w:t>
      </w:r>
      <w:r w:rsidR="00B41DD9">
        <w:t xml:space="preserve">ou </w:t>
      </w:r>
      <w:r w:rsidR="00772150" w:rsidRPr="002C0622">
        <w:t>ayant des limitations fonctionnelles</w:t>
      </w:r>
      <w:r w:rsidR="00DF71E7">
        <w:t xml:space="preserve"> (ex. : personnes </w:t>
      </w:r>
      <w:r w:rsidR="009D3239">
        <w:t xml:space="preserve">se déplaçant </w:t>
      </w:r>
      <w:r w:rsidR="00DF71E7">
        <w:t xml:space="preserve">en fauteuil), </w:t>
      </w:r>
      <w:r w:rsidR="00D741A9">
        <w:t>de</w:t>
      </w:r>
      <w:r w:rsidR="00D05788">
        <w:t xml:space="preserve"> s’en approcher aisément</w:t>
      </w:r>
      <w:r w:rsidR="00772150" w:rsidRPr="002C0622">
        <w:t xml:space="preserve">. </w:t>
      </w:r>
    </w:p>
    <w:p w14:paraId="50CD24E7" w14:textId="5EEC0416" w:rsidR="00337597" w:rsidRDefault="008B07A7" w:rsidP="00D741A9">
      <w:r>
        <w:t>D’autre part</w:t>
      </w:r>
      <w:r w:rsidR="00337597">
        <w:t xml:space="preserve">, </w:t>
      </w:r>
      <w:r>
        <w:t xml:space="preserve">tous les équipements, y compris </w:t>
      </w:r>
      <w:r w:rsidR="00337597">
        <w:t xml:space="preserve">les fontaines d’eau potable (cf. : action 5.2.3) devront être en nombre suffisant pour minimiser les distances à parcourir pour les atteindre. </w:t>
      </w:r>
      <w:r>
        <w:t xml:space="preserve">Les fontaines devront de plus </w:t>
      </w:r>
      <w:r w:rsidR="00A72539">
        <w:t>être localisées de façon à permettre à tous de s’en approcher, sans que le dégagement en dessous produise une saillie non détectable pour un usager ayant une limitation visuelle.</w:t>
      </w:r>
    </w:p>
    <w:p w14:paraId="690DA0A9" w14:textId="77777777" w:rsidR="00BD6078" w:rsidRPr="00D741A9" w:rsidRDefault="00D741A9" w:rsidP="00D741A9">
      <w:r>
        <w:t>En outre</w:t>
      </w:r>
      <w:r w:rsidR="00CF00C0">
        <w:t>, t</w:t>
      </w:r>
      <w:r w:rsidR="00B41DD9">
        <w:t xml:space="preserve">oute installation de nouveaux équipements sur le domaine public </w:t>
      </w:r>
      <w:r w:rsidR="00BD6078">
        <w:t xml:space="preserve">devra </w:t>
      </w:r>
      <w:r w:rsidR="0014650F">
        <w:t xml:space="preserve">non seulement </w:t>
      </w:r>
      <w:r w:rsidR="006F4159">
        <w:t xml:space="preserve">ne </w:t>
      </w:r>
      <w:r w:rsidR="000743A4">
        <w:t xml:space="preserve">pas compromettre </w:t>
      </w:r>
      <w:r>
        <w:t>l</w:t>
      </w:r>
      <w:r w:rsidR="000743A4">
        <w:t>a qualité d</w:t>
      </w:r>
      <w:r w:rsidR="00CF00C0" w:rsidRPr="00D741A9">
        <w:t xml:space="preserve">es opérations de déneigement </w:t>
      </w:r>
      <w:r w:rsidR="00BD6078" w:rsidRPr="00D741A9">
        <w:t xml:space="preserve">et </w:t>
      </w:r>
      <w:r w:rsidR="00CF00C0" w:rsidRPr="00D741A9">
        <w:t xml:space="preserve">de </w:t>
      </w:r>
      <w:r w:rsidR="00BD6078" w:rsidRPr="00D741A9">
        <w:t>déglaçage</w:t>
      </w:r>
      <w:r w:rsidR="0014650F">
        <w:t xml:space="preserve"> du domaine public</w:t>
      </w:r>
      <w:r w:rsidR="000743A4">
        <w:t xml:space="preserve">, </w:t>
      </w:r>
      <w:r w:rsidR="0014650F">
        <w:t>mais</w:t>
      </w:r>
      <w:r w:rsidR="00BD6078" w:rsidRPr="00D741A9">
        <w:t xml:space="preserve"> </w:t>
      </w:r>
      <w:r w:rsidR="006F4159">
        <w:t xml:space="preserve">également permettre à </w:t>
      </w:r>
      <w:r w:rsidR="0014650F">
        <w:t xml:space="preserve">celles-ci </w:t>
      </w:r>
      <w:r w:rsidR="006F4159">
        <w:t>d’</w:t>
      </w:r>
      <w:r w:rsidR="0014650F">
        <w:t xml:space="preserve">être menées </w:t>
      </w:r>
      <w:r w:rsidR="00BD6078" w:rsidRPr="00D741A9">
        <w:t>aux abords de</w:t>
      </w:r>
      <w:r w:rsidR="0014650F">
        <w:t xml:space="preserve"> ce</w:t>
      </w:r>
      <w:r w:rsidR="00BD6078" w:rsidRPr="00D741A9">
        <w:t>s</w:t>
      </w:r>
      <w:r w:rsidR="00772150" w:rsidRPr="00D741A9">
        <w:t xml:space="preserve"> équipements</w:t>
      </w:r>
      <w:r w:rsidR="00337597">
        <w:t>,</w:t>
      </w:r>
      <w:r w:rsidR="0014650F">
        <w:t xml:space="preserve"> afin qu’ils restent accessibles et utilisables en tout temps. </w:t>
      </w:r>
    </w:p>
    <w:p w14:paraId="4AD95F11" w14:textId="77777777" w:rsidR="00BD6078" w:rsidRDefault="0014650F" w:rsidP="00BD6078">
      <w:r>
        <w:t>Finalement</w:t>
      </w:r>
      <w:r w:rsidR="006424C1">
        <w:t xml:space="preserve">, </w:t>
      </w:r>
      <w:r w:rsidR="00BD6078">
        <w:t xml:space="preserve">l’aménagement des espaces dédiés à la collecte des matières organiques ou recyclables </w:t>
      </w:r>
      <w:r w:rsidR="008A0359">
        <w:t xml:space="preserve">lors d’événements occupant temporairement </w:t>
      </w:r>
      <w:r w:rsidR="00BD6078">
        <w:t xml:space="preserve">le domaine public (cf. : actions 2.1.3 </w:t>
      </w:r>
      <w:r w:rsidR="006424C1">
        <w:t xml:space="preserve">et </w:t>
      </w:r>
      <w:r w:rsidR="006F4159">
        <w:t xml:space="preserve">3.1.4) devra </w:t>
      </w:r>
      <w:r w:rsidR="006424C1">
        <w:t xml:space="preserve">également </w:t>
      </w:r>
      <w:r w:rsidR="00BD6078">
        <w:t xml:space="preserve">tenir compte des besoins des </w:t>
      </w:r>
      <w:r w:rsidR="006424C1">
        <w:t xml:space="preserve">personnes </w:t>
      </w:r>
      <w:r w:rsidR="00BD6078">
        <w:t>aîné</w:t>
      </w:r>
      <w:r w:rsidR="006424C1">
        <w:t>e</w:t>
      </w:r>
      <w:r w:rsidR="00BD6078">
        <w:t xml:space="preserve">s </w:t>
      </w:r>
      <w:r w:rsidR="006424C1">
        <w:t xml:space="preserve">ou </w:t>
      </w:r>
      <w:r w:rsidR="00BD6078">
        <w:t xml:space="preserve">ayant des limitations fonctionnelles. </w:t>
      </w:r>
    </w:p>
    <w:p w14:paraId="1020E9B1" w14:textId="77777777" w:rsidR="00BD6078" w:rsidRDefault="00CC0225" w:rsidP="00BD6078">
      <w:r>
        <w:t xml:space="preserve">Recommandations : </w:t>
      </w:r>
    </w:p>
    <w:p w14:paraId="5B567C57" w14:textId="21CE34E7" w:rsidR="00D21333" w:rsidRDefault="00D21333" w:rsidP="00D21333">
      <w:pPr>
        <w:numPr>
          <w:ilvl w:val="0"/>
          <w:numId w:val="14"/>
        </w:numPr>
      </w:pPr>
      <w:r>
        <w:t xml:space="preserve">Qu’une révision du partage des espaces alloués aux véhicules et aux piétons </w:t>
      </w:r>
      <w:r w:rsidRPr="00B251CB">
        <w:t xml:space="preserve">soit </w:t>
      </w:r>
      <w:r w:rsidR="003D7EB8" w:rsidRPr="00B251CB">
        <w:t>amorcée dans le but d’</w:t>
      </w:r>
      <w:r w:rsidR="00721A9E" w:rsidRPr="00B251CB">
        <w:t>optimiser</w:t>
      </w:r>
      <w:r w:rsidR="00721A9E">
        <w:t xml:space="preserve"> </w:t>
      </w:r>
      <w:r>
        <w:t xml:space="preserve">l’utilisation du domaine public par tous les usagers. </w:t>
      </w:r>
    </w:p>
    <w:p w14:paraId="59B1EEF6" w14:textId="077866A0" w:rsidR="00565660" w:rsidRPr="003D010F" w:rsidRDefault="00565660" w:rsidP="00D21333">
      <w:pPr>
        <w:numPr>
          <w:ilvl w:val="0"/>
          <w:numId w:val="14"/>
        </w:numPr>
      </w:pPr>
      <w:r>
        <w:t xml:space="preserve">Que les </w:t>
      </w:r>
      <w:r w:rsidRPr="00565660">
        <w:t>critères d’installation</w:t>
      </w:r>
      <w:r>
        <w:t xml:space="preserve"> des </w:t>
      </w:r>
      <w:r w:rsidR="008B658D">
        <w:t>îlot</w:t>
      </w:r>
      <w:r>
        <w:t>s de récupération et autres équipements</w:t>
      </w:r>
      <w:r w:rsidR="00D3239F">
        <w:t xml:space="preserve"> </w:t>
      </w:r>
      <w:r w:rsidR="008E4776">
        <w:t>collect</w:t>
      </w:r>
      <w:r w:rsidR="00243712">
        <w:t>ifs</w:t>
      </w:r>
      <w:r>
        <w:t xml:space="preserve">, ainsi que la réglementation visant à encadrer les boîtes </w:t>
      </w:r>
      <w:r w:rsidRPr="003D010F">
        <w:t xml:space="preserve">de dons de </w:t>
      </w:r>
      <w:r w:rsidRPr="003D010F">
        <w:lastRenderedPageBreak/>
        <w:t xml:space="preserve">textiles, </w:t>
      </w:r>
      <w:r w:rsidR="00D3239F" w:rsidRPr="003D010F">
        <w:t xml:space="preserve">prévoient </w:t>
      </w:r>
      <w:r w:rsidR="00243712" w:rsidRPr="003D010F">
        <w:t xml:space="preserve">la préservation </w:t>
      </w:r>
      <w:r w:rsidRPr="003D010F">
        <w:t xml:space="preserve">de corridors de circulation sans obstacle pour les piétons. </w:t>
      </w:r>
    </w:p>
    <w:p w14:paraId="1A292E08" w14:textId="10E53532" w:rsidR="00565660" w:rsidRDefault="00C6233E" w:rsidP="00D21333">
      <w:pPr>
        <w:numPr>
          <w:ilvl w:val="0"/>
          <w:numId w:val="14"/>
        </w:numPr>
      </w:pPr>
      <w:r>
        <w:t xml:space="preserve">Que tous les équipements </w:t>
      </w:r>
      <w:r w:rsidR="00721A9E">
        <w:t xml:space="preserve">collectifs </w:t>
      </w:r>
      <w:r>
        <w:t xml:space="preserve">(ex. : </w:t>
      </w:r>
      <w:r w:rsidR="008B658D">
        <w:t>îlot</w:t>
      </w:r>
      <w:r>
        <w:t xml:space="preserve">s de récupération, boîtes de dons de textiles, fontaines d’eau potable) soient en nombre suffisant pour minimiser les distances à parcourir pour les atteindre. </w:t>
      </w:r>
    </w:p>
    <w:p w14:paraId="276BFA10" w14:textId="78AEF19D" w:rsidR="00721A9E" w:rsidRDefault="00721A9E" w:rsidP="00D21333">
      <w:pPr>
        <w:numPr>
          <w:ilvl w:val="0"/>
          <w:numId w:val="14"/>
        </w:numPr>
      </w:pPr>
      <w:r>
        <w:t xml:space="preserve">Que </w:t>
      </w:r>
      <w:r w:rsidR="005D20F1">
        <w:t>l</w:t>
      </w:r>
      <w:r>
        <w:t xml:space="preserve">es équipements collectifs </w:t>
      </w:r>
      <w:r w:rsidR="005D20F1">
        <w:t xml:space="preserve">soient installés en tenant compte des </w:t>
      </w:r>
      <w:r w:rsidR="00690946">
        <w:t xml:space="preserve">exigences des </w:t>
      </w:r>
      <w:r w:rsidR="005D20F1">
        <w:t xml:space="preserve">opérations de déneigement et de déglaçage, afin que </w:t>
      </w:r>
      <w:r>
        <w:t>tous les citoyens et citoyennes, y compris les personnes aînées ou ayant des limitations fonctionnelles</w:t>
      </w:r>
      <w:r w:rsidR="00690946">
        <w:t xml:space="preserve">, puissent y accéder et les utiliser en tout temps. </w:t>
      </w:r>
    </w:p>
    <w:p w14:paraId="471AB949" w14:textId="7F151E43" w:rsidR="00BD6078" w:rsidRPr="00007A1C" w:rsidRDefault="00664F74" w:rsidP="00BD6078">
      <w:pPr>
        <w:pStyle w:val="Heading2"/>
      </w:pPr>
      <w:bookmarkStart w:id="28" w:name="_Toc30437421"/>
      <w:r>
        <w:t xml:space="preserve">Installation </w:t>
      </w:r>
      <w:r w:rsidR="00BD6078">
        <w:t>intérieu</w:t>
      </w:r>
      <w:r>
        <w:t>re</w:t>
      </w:r>
      <w:bookmarkEnd w:id="28"/>
      <w:r>
        <w:t xml:space="preserve"> </w:t>
      </w:r>
    </w:p>
    <w:p w14:paraId="6742F7DD" w14:textId="1CA1FE52" w:rsidR="00BD6078" w:rsidRDefault="00BD6078" w:rsidP="00BD6078">
      <w:r>
        <w:t>L</w:t>
      </w:r>
      <w:r w:rsidRPr="00393EE1">
        <w:t>es équipements de récupération des matières recyclables et organiques</w:t>
      </w:r>
      <w:r w:rsidR="009832BE">
        <w:t>,</w:t>
      </w:r>
      <w:r w:rsidRPr="00393EE1">
        <w:t xml:space="preserve"> dans tous les bâtiments municipaux et </w:t>
      </w:r>
      <w:r w:rsidR="009832BE">
        <w:t xml:space="preserve">dans </w:t>
      </w:r>
      <w:r w:rsidRPr="00393EE1">
        <w:t>toutes les aires publiques où la fréquentation le justifie</w:t>
      </w:r>
      <w:r w:rsidR="00641286">
        <w:t>, ainsi que les fontaines d’eau potable</w:t>
      </w:r>
      <w:r>
        <w:t xml:space="preserve"> (cf. : action</w:t>
      </w:r>
      <w:r w:rsidR="00783183">
        <w:t>s</w:t>
      </w:r>
      <w:r>
        <w:t xml:space="preserve"> 5.2.2</w:t>
      </w:r>
      <w:r w:rsidR="00783183">
        <w:t xml:space="preserve"> et 5.2.3</w:t>
      </w:r>
      <w:r>
        <w:t>)</w:t>
      </w:r>
      <w:r w:rsidR="00783183">
        <w:t xml:space="preserve">, </w:t>
      </w:r>
      <w:r>
        <w:t xml:space="preserve">devront être installés dans des zones accessibles à tous, y compris </w:t>
      </w:r>
      <w:r w:rsidR="009832BE">
        <w:t xml:space="preserve">aux </w:t>
      </w:r>
      <w:r w:rsidR="007203B0">
        <w:t xml:space="preserve">personnes </w:t>
      </w:r>
      <w:r>
        <w:t>aîné</w:t>
      </w:r>
      <w:r w:rsidR="007203B0">
        <w:t>e</w:t>
      </w:r>
      <w:r>
        <w:t xml:space="preserve">s </w:t>
      </w:r>
      <w:r w:rsidR="007203B0">
        <w:t xml:space="preserve">ou </w:t>
      </w:r>
      <w:r>
        <w:t>ayant des limitations fonctionnelles, et ces équipements dev</w:t>
      </w:r>
      <w:r w:rsidR="00641286">
        <w:t xml:space="preserve">ront être utilisables par tous, en tout temps, en toute </w:t>
      </w:r>
      <w:r w:rsidR="009832BE">
        <w:t xml:space="preserve">autonomie et en toute sécurité (ex. : ne pas générer de saillies non détectables par les personnes qui utilisent une canne blanche). </w:t>
      </w:r>
    </w:p>
    <w:p w14:paraId="0DA64BF6" w14:textId="36AE21F5" w:rsidR="00AF3FEB" w:rsidRDefault="00AF3FEB" w:rsidP="00BD6078">
      <w:r>
        <w:t xml:space="preserve">Recommandation : </w:t>
      </w:r>
    </w:p>
    <w:p w14:paraId="51597531" w14:textId="4E1241F6" w:rsidR="00AF3FEB" w:rsidRDefault="00AF3FEB" w:rsidP="00AF3FEB">
      <w:pPr>
        <w:numPr>
          <w:ilvl w:val="0"/>
          <w:numId w:val="14"/>
        </w:numPr>
      </w:pPr>
      <w:r>
        <w:t xml:space="preserve">Que les équipements collectifs dans les bâtiments municipaux soient installés dans des zones accessibles à tous, y compris aux personnes aînées ou ayant des limitations fonctionnelles, et qu’ils soient utilisables par tous, en tout temps, en toute autonomie et en toute sécurité. </w:t>
      </w:r>
    </w:p>
    <w:p w14:paraId="0F2BCB08" w14:textId="77777777" w:rsidR="00BD6078" w:rsidRDefault="00BD6078" w:rsidP="00BD6078">
      <w:pPr>
        <w:pStyle w:val="Heading1"/>
      </w:pPr>
      <w:bookmarkStart w:id="29" w:name="_Toc30437422"/>
      <w:r>
        <w:t>Programmes et services</w:t>
      </w:r>
      <w:bookmarkEnd w:id="29"/>
      <w:r>
        <w:t xml:space="preserve"> </w:t>
      </w:r>
    </w:p>
    <w:p w14:paraId="1E189B0B" w14:textId="77777777" w:rsidR="00DA5AA9" w:rsidRDefault="00DA5AA9" w:rsidP="00BD6078">
      <w:pPr>
        <w:pStyle w:val="Heading2"/>
      </w:pPr>
      <w:bookmarkStart w:id="30" w:name="_Toc30437423"/>
      <w:r>
        <w:t>Participation citoyenne</w:t>
      </w:r>
      <w:bookmarkEnd w:id="30"/>
    </w:p>
    <w:p w14:paraId="3100C41F" w14:textId="4F26203E" w:rsidR="00A32F80" w:rsidRDefault="00A32F80" w:rsidP="00A32F80">
      <w:r>
        <w:t xml:space="preserve">Pour favoriser la participation </w:t>
      </w:r>
      <w:r w:rsidR="004B65E1">
        <w:t xml:space="preserve">des organismes </w:t>
      </w:r>
      <w:r w:rsidR="003C0BD3">
        <w:t xml:space="preserve">communautaires </w:t>
      </w:r>
      <w:r w:rsidR="004B65E1">
        <w:t xml:space="preserve">et des </w:t>
      </w:r>
      <w:r w:rsidR="006F4159">
        <w:t xml:space="preserve">citoyennes et </w:t>
      </w:r>
      <w:r w:rsidR="004B65E1">
        <w:t>citoyens à la vie de la communauté</w:t>
      </w:r>
      <w:r w:rsidR="003C0BD3">
        <w:t xml:space="preserve"> (ex. : activités de sensibilisation </w:t>
      </w:r>
      <w:r w:rsidR="00AC1C85">
        <w:t xml:space="preserve">dans le parc Émilie Gamelin durant </w:t>
      </w:r>
      <w:r w:rsidR="00D873F7">
        <w:t>la Semaine québécoise des personnes handicapées)</w:t>
      </w:r>
      <w:r w:rsidR="004B65E1">
        <w:t xml:space="preserve">, </w:t>
      </w:r>
      <w:r w:rsidR="00B0575A">
        <w:t xml:space="preserve">les </w:t>
      </w:r>
      <w:r w:rsidR="003C0BD3">
        <w:t>démarches</w:t>
      </w:r>
      <w:r w:rsidR="00B0575A">
        <w:t>, les exigences</w:t>
      </w:r>
      <w:r w:rsidR="003C0BD3">
        <w:t xml:space="preserve"> </w:t>
      </w:r>
      <w:r>
        <w:t xml:space="preserve">et </w:t>
      </w:r>
      <w:r w:rsidR="004E2188">
        <w:t xml:space="preserve">les </w:t>
      </w:r>
      <w:r>
        <w:t xml:space="preserve">documents </w:t>
      </w:r>
      <w:r w:rsidR="00A422DE">
        <w:t xml:space="preserve">(ex. : </w:t>
      </w:r>
      <w:r w:rsidR="00A422DE" w:rsidRPr="00520CFE">
        <w:t>clause de récupération dans le permis d’occupation</w:t>
      </w:r>
      <w:r w:rsidR="00A422DE">
        <w:t xml:space="preserve">, </w:t>
      </w:r>
      <w:r w:rsidR="00A422DE" w:rsidRPr="00520CFE">
        <w:t>rapport post-événement</w:t>
      </w:r>
      <w:r w:rsidR="00A422DE">
        <w:t xml:space="preserve">) </w:t>
      </w:r>
      <w:r>
        <w:t xml:space="preserve">nécessaires à l’organisation d’événements occupant temporairement le domaine public </w:t>
      </w:r>
      <w:r w:rsidR="00A422DE">
        <w:t xml:space="preserve">(cf. : actions 2.1.3 et 3.1.4) </w:t>
      </w:r>
      <w:r>
        <w:t>devront être faciles à comprendre</w:t>
      </w:r>
      <w:r w:rsidR="00A422DE">
        <w:t xml:space="preserve">, à </w:t>
      </w:r>
      <w:r w:rsidR="00B0575A">
        <w:t xml:space="preserve">effectuer, à satisfaire ou </w:t>
      </w:r>
      <w:r>
        <w:t xml:space="preserve">à compléter. </w:t>
      </w:r>
      <w:r w:rsidR="00B0575A">
        <w:t>Pour ce faire, un accompagnement adéquat</w:t>
      </w:r>
      <w:r w:rsidR="006F4159">
        <w:t xml:space="preserve"> devra être offert aux citoyens et citoyennes ainsi qu’</w:t>
      </w:r>
      <w:r w:rsidR="00B0575A">
        <w:t xml:space="preserve">aux groupes. </w:t>
      </w:r>
    </w:p>
    <w:p w14:paraId="0570ABE9" w14:textId="34B8A883" w:rsidR="00082650" w:rsidRDefault="00220060" w:rsidP="00DA5AA9">
      <w:r>
        <w:lastRenderedPageBreak/>
        <w:t>Également</w:t>
      </w:r>
      <w:r w:rsidR="00FE631F">
        <w:t>, d</w:t>
      </w:r>
      <w:r w:rsidR="00DA5AA9">
        <w:t xml:space="preserve">ans une perspective </w:t>
      </w:r>
      <w:r w:rsidR="00A32F80">
        <w:t xml:space="preserve">d’inclusion sociale et de </w:t>
      </w:r>
      <w:r w:rsidR="00DA5AA9">
        <w:t xml:space="preserve">participation citoyenne, les activités </w:t>
      </w:r>
      <w:r w:rsidR="0052252D">
        <w:t xml:space="preserve">et journées </w:t>
      </w:r>
      <w:r w:rsidR="00DA5AA9">
        <w:t xml:space="preserve">spéciales </w:t>
      </w:r>
      <w:r w:rsidR="0052252D">
        <w:t xml:space="preserve">(cf. : action 5.1.3) </w:t>
      </w:r>
      <w:r w:rsidR="00DA5AA9">
        <w:t>visant à promouvoir les bonnes pratiques en matière de récupération (ex. : résidus domestiques dangereux, halocarbures) devront être inclusi</w:t>
      </w:r>
      <w:r w:rsidR="0052252D">
        <w:t>ve</w:t>
      </w:r>
      <w:r w:rsidR="00DA5AA9">
        <w:t>s, pour permettre à tous les citoyens</w:t>
      </w:r>
      <w:r>
        <w:t xml:space="preserve"> et citoyennes</w:t>
      </w:r>
      <w:r w:rsidR="00DA5AA9">
        <w:t xml:space="preserve">, y compris </w:t>
      </w:r>
      <w:r w:rsidR="00346530">
        <w:t xml:space="preserve">aux </w:t>
      </w:r>
      <w:r w:rsidR="005412DE">
        <w:t xml:space="preserve">personnes </w:t>
      </w:r>
      <w:r w:rsidR="00DA5AA9">
        <w:t>aîné</w:t>
      </w:r>
      <w:r w:rsidR="005412DE">
        <w:t>e</w:t>
      </w:r>
      <w:r w:rsidR="00DA5AA9">
        <w:t xml:space="preserve">s </w:t>
      </w:r>
      <w:r w:rsidR="005412DE">
        <w:t xml:space="preserve">ou </w:t>
      </w:r>
      <w:r w:rsidR="00DA5AA9">
        <w:t>ayant des limitations fonctionnelles</w:t>
      </w:r>
      <w:r w:rsidR="00641286">
        <w:t>,</w:t>
      </w:r>
      <w:r w:rsidR="00DA5AA9">
        <w:t xml:space="preserve"> d’y participer en toute égalité. </w:t>
      </w:r>
      <w:r w:rsidR="009F66E4">
        <w:t>Pour une activité ou un événement, la notion d’inclusion comprend, sans s’y limiter, l’accessibilité des communications (ex. : annonce de l’événement, processus d’inscript</w:t>
      </w:r>
      <w:r w:rsidR="00DB14D1">
        <w:t xml:space="preserve">ion, documents de présentation, </w:t>
      </w:r>
      <w:r w:rsidR="00DB14D1" w:rsidRPr="00DB14D1">
        <w:t xml:space="preserve">dans différents médias, notamment en médaillons </w:t>
      </w:r>
      <w:r w:rsidR="00DB14D1">
        <w:t>en</w:t>
      </w:r>
      <w:r w:rsidR="009F66E4">
        <w:t xml:space="preserve"> langue des signes), l’accessibilité du lieu de l’événement (ex. : </w:t>
      </w:r>
      <w:r w:rsidR="00082650">
        <w:t xml:space="preserve">proximité d’une ligne de bus ou </w:t>
      </w:r>
      <w:r w:rsidR="00962E3C">
        <w:t xml:space="preserve">d’une station de </w:t>
      </w:r>
      <w:r w:rsidR="00082650">
        <w:t>métro</w:t>
      </w:r>
      <w:r w:rsidR="00962E3C">
        <w:t xml:space="preserve"> accessible</w:t>
      </w:r>
      <w:r w:rsidR="00082650">
        <w:t>, stationnement, débarcadère pour le transport adapté, entrée, salle et toilettes accessibles aux personnes à mobilité réduite</w:t>
      </w:r>
      <w:r w:rsidR="00372CA1">
        <w:t>) e</w:t>
      </w:r>
      <w:r w:rsidR="00082650">
        <w:t xml:space="preserve">t </w:t>
      </w:r>
      <w:r w:rsidR="001E1D64">
        <w:t>d’</w:t>
      </w:r>
      <w:r w:rsidR="00082650">
        <w:t xml:space="preserve">autres accommodements (ex. : accompagnateurs ou préposés, bénévoles à l’entrée du bâtiment pour accueillir les </w:t>
      </w:r>
      <w:r w:rsidR="00372CA1">
        <w:t>visiteurs</w:t>
      </w:r>
      <w:r w:rsidR="00DB14D1">
        <w:t>, interprètes en langue signée</w:t>
      </w:r>
      <w:r w:rsidR="00372CA1">
        <w:t xml:space="preserve">). </w:t>
      </w:r>
    </w:p>
    <w:p w14:paraId="4E7FCA88" w14:textId="472B4AC1" w:rsidR="00DA5AA9" w:rsidRPr="0010756F" w:rsidRDefault="00A32F80" w:rsidP="00DA5AA9">
      <w:r>
        <w:t>Par ailleurs</w:t>
      </w:r>
      <w:r w:rsidR="00DA5AA9">
        <w:t xml:space="preserve">, afin de s’assurer de l’impact des mesures d’encouragements sur tous les citoyens </w:t>
      </w:r>
      <w:r w:rsidR="00220060">
        <w:t xml:space="preserve">et citoyennes </w:t>
      </w:r>
      <w:r w:rsidR="00DA5AA9">
        <w:t xml:space="preserve">(cf. : action 6.2.2), </w:t>
      </w:r>
      <w:r w:rsidR="00641286">
        <w:t xml:space="preserve">tous </w:t>
      </w:r>
      <w:r w:rsidR="00DA5AA9">
        <w:t xml:space="preserve">les projets pilotes devront inclure des </w:t>
      </w:r>
      <w:r w:rsidR="00641286">
        <w:t xml:space="preserve">personnes </w:t>
      </w:r>
      <w:r w:rsidR="00DA5AA9">
        <w:t>aîné</w:t>
      </w:r>
      <w:r w:rsidR="00641286">
        <w:t>e</w:t>
      </w:r>
      <w:r w:rsidR="00DA5AA9">
        <w:t xml:space="preserve">s </w:t>
      </w:r>
      <w:r w:rsidR="00A90EAC" w:rsidRPr="00A90EAC">
        <w:t>et des personnes</w:t>
      </w:r>
      <w:r w:rsidR="00641286">
        <w:t xml:space="preserve"> </w:t>
      </w:r>
      <w:r w:rsidR="00DA5AA9">
        <w:t xml:space="preserve">ayant des limitations fonctionnelles. </w:t>
      </w:r>
    </w:p>
    <w:p w14:paraId="1789A8C9" w14:textId="77777777" w:rsidR="00DA5AA9" w:rsidRDefault="00A32F80" w:rsidP="00DA5AA9">
      <w:r>
        <w:t xml:space="preserve">Recommandations : </w:t>
      </w:r>
    </w:p>
    <w:p w14:paraId="171CF7A5" w14:textId="77777777" w:rsidR="00A32F80" w:rsidRDefault="00FE631F" w:rsidP="00D21333">
      <w:pPr>
        <w:numPr>
          <w:ilvl w:val="0"/>
          <w:numId w:val="14"/>
        </w:numPr>
      </w:pPr>
      <w:r>
        <w:t xml:space="preserve">Que les </w:t>
      </w:r>
      <w:r w:rsidR="001E1D64">
        <w:t xml:space="preserve">démarches, </w:t>
      </w:r>
      <w:r w:rsidR="002F05C8">
        <w:t xml:space="preserve">exigences et documents </w:t>
      </w:r>
      <w:r>
        <w:t xml:space="preserve">visant à encadrer la collecte des matières organiques et recyclables lors d’événements </w:t>
      </w:r>
      <w:r w:rsidR="002F05C8">
        <w:t xml:space="preserve">occupant temporairement le domaine public soient faciles à comprendre, à </w:t>
      </w:r>
      <w:r w:rsidR="001E1D64">
        <w:t xml:space="preserve">effectuer, à satisfaire </w:t>
      </w:r>
      <w:r w:rsidR="002F05C8">
        <w:t xml:space="preserve">ou à compléter, afin de permettre </w:t>
      </w:r>
      <w:r w:rsidR="001E1D64">
        <w:t xml:space="preserve">aux </w:t>
      </w:r>
      <w:r w:rsidR="002F05C8">
        <w:t xml:space="preserve">groupes </w:t>
      </w:r>
      <w:r w:rsidR="00220060">
        <w:t>ainsi qu’</w:t>
      </w:r>
      <w:r w:rsidR="001E1D64">
        <w:t xml:space="preserve">aux </w:t>
      </w:r>
      <w:r w:rsidR="00220060">
        <w:t xml:space="preserve">citoyennes et </w:t>
      </w:r>
      <w:r w:rsidR="002F05C8">
        <w:t xml:space="preserve">citoyens de poursuivre l’organisation de </w:t>
      </w:r>
      <w:r w:rsidR="001E1D64">
        <w:t xml:space="preserve">tels </w:t>
      </w:r>
      <w:r w:rsidR="002F05C8">
        <w:t xml:space="preserve">événements. </w:t>
      </w:r>
    </w:p>
    <w:p w14:paraId="4D553980" w14:textId="77777777" w:rsidR="001E1D64" w:rsidRDefault="00DA3151" w:rsidP="00D21333">
      <w:pPr>
        <w:numPr>
          <w:ilvl w:val="0"/>
          <w:numId w:val="14"/>
        </w:numPr>
      </w:pPr>
      <w:r>
        <w:t xml:space="preserve">Que toutes les activités de promotion et </w:t>
      </w:r>
      <w:r w:rsidR="00220060">
        <w:t xml:space="preserve">les </w:t>
      </w:r>
      <w:r>
        <w:t xml:space="preserve">événements spéciaux soient inclusifs. </w:t>
      </w:r>
    </w:p>
    <w:p w14:paraId="598BC50E" w14:textId="0177138B" w:rsidR="001E1D64" w:rsidRDefault="00DA3151" w:rsidP="00D21333">
      <w:pPr>
        <w:numPr>
          <w:ilvl w:val="0"/>
          <w:numId w:val="14"/>
        </w:numPr>
      </w:pPr>
      <w:r>
        <w:t xml:space="preserve">Que tous les projets pilotes incluent des personnes aînées et </w:t>
      </w:r>
      <w:r w:rsidR="00A90EAC">
        <w:t xml:space="preserve">des personnes </w:t>
      </w:r>
      <w:r>
        <w:t xml:space="preserve">ayant des limitations fonctionnelles. </w:t>
      </w:r>
    </w:p>
    <w:p w14:paraId="621396F4" w14:textId="77777777" w:rsidR="00E9307B" w:rsidRDefault="00E9307B" w:rsidP="008C0A5E">
      <w:pPr>
        <w:pStyle w:val="Heading2"/>
      </w:pPr>
      <w:bookmarkStart w:id="31" w:name="_Toc30437424"/>
      <w:r>
        <w:t>Modification de la réglementation</w:t>
      </w:r>
      <w:bookmarkEnd w:id="31"/>
      <w:r>
        <w:t xml:space="preserve"> </w:t>
      </w:r>
    </w:p>
    <w:p w14:paraId="24930BEC" w14:textId="77777777" w:rsidR="00007A1C" w:rsidRPr="006E1067" w:rsidRDefault="001713BD" w:rsidP="00DC7D07">
      <w:pPr>
        <w:pStyle w:val="Heading3"/>
      </w:pPr>
      <w:r w:rsidRPr="006E1067">
        <w:t xml:space="preserve">Interdiction </w:t>
      </w:r>
      <w:r w:rsidR="008C0A5E" w:rsidRPr="006E1067">
        <w:t xml:space="preserve">de certains plastiques </w:t>
      </w:r>
      <w:r w:rsidR="00977E48">
        <w:t xml:space="preserve">à usage unique </w:t>
      </w:r>
    </w:p>
    <w:p w14:paraId="383D2B2F" w14:textId="77777777" w:rsidR="00F3243E" w:rsidRPr="00311E78" w:rsidRDefault="00DC7D07" w:rsidP="00311E78">
      <w:r w:rsidRPr="00311E78">
        <w:t xml:space="preserve">L’une des mesures phare du Plan concerne l’interdiction de certains plastiques à usage unique, comme les agitateurs, la vaisselle et les ustensiles. </w:t>
      </w:r>
      <w:r w:rsidR="008F097C" w:rsidRPr="00311E78">
        <w:t>Au demeurant, n</w:t>
      </w:r>
      <w:r w:rsidR="00F3243E" w:rsidRPr="00311E78">
        <w:t xml:space="preserve">otre regroupement salue cette volonté de la Ville d’agir sur ces produits </w:t>
      </w:r>
      <w:r w:rsidR="00C365BE" w:rsidRPr="00311E78">
        <w:t xml:space="preserve">au lourd </w:t>
      </w:r>
      <w:r w:rsidR="00F3243E" w:rsidRPr="00311E78">
        <w:t xml:space="preserve">impact environnemental. </w:t>
      </w:r>
    </w:p>
    <w:p w14:paraId="1DAE8ABC" w14:textId="46D7B5E6" w:rsidR="00C365BE" w:rsidRPr="00311E78" w:rsidRDefault="007360C3" w:rsidP="00311E78">
      <w:r w:rsidRPr="00311E78">
        <w:t xml:space="preserve">Toutefois, </w:t>
      </w:r>
      <w:r w:rsidR="00C365BE" w:rsidRPr="00311E78">
        <w:t xml:space="preserve">un grand nombre de personnes </w:t>
      </w:r>
      <w:r w:rsidR="00977E48" w:rsidRPr="00311E78">
        <w:t xml:space="preserve">aînées ou </w:t>
      </w:r>
      <w:r w:rsidR="00C365BE" w:rsidRPr="00311E78">
        <w:t xml:space="preserve">ayant des limitations fonctionnelles, notamment </w:t>
      </w:r>
      <w:r w:rsidR="00977E48" w:rsidRPr="00311E78">
        <w:t xml:space="preserve">celles qui ont </w:t>
      </w:r>
      <w:r w:rsidR="00C365BE" w:rsidRPr="00311E78">
        <w:t>des problèmes de dextérité</w:t>
      </w:r>
      <w:r w:rsidR="008F097C" w:rsidRPr="00311E78">
        <w:t xml:space="preserve"> ou de spasmes </w:t>
      </w:r>
      <w:r w:rsidR="008F097C" w:rsidRPr="00311E78">
        <w:lastRenderedPageBreak/>
        <w:t>musculaires</w:t>
      </w:r>
      <w:r w:rsidR="00C365BE" w:rsidRPr="00311E78">
        <w:t>, ont absolument besoin d’utiliser des pailles pour boire</w:t>
      </w:r>
      <w:r w:rsidR="008F097C" w:rsidRPr="00311E78">
        <w:t xml:space="preserve"> les liquides, froids ou chauds. Cependant, p</w:t>
      </w:r>
      <w:r w:rsidRPr="00311E78">
        <w:t>our différentes raisons, comme des problèmes de dextérité</w:t>
      </w:r>
      <w:r w:rsidR="00184411" w:rsidRPr="00311E78">
        <w:t xml:space="preserve">, de spasticité </w:t>
      </w:r>
      <w:r w:rsidRPr="00311E78">
        <w:t xml:space="preserve">ou l’insuffisance d’heure </w:t>
      </w:r>
      <w:r w:rsidR="00220060">
        <w:t xml:space="preserve">de </w:t>
      </w:r>
      <w:r w:rsidRPr="00311E78">
        <w:t>services de soutien à domicile</w:t>
      </w:r>
      <w:r w:rsidR="00220060">
        <w:t xml:space="preserve"> (par des préposés)</w:t>
      </w:r>
      <w:r w:rsidRPr="00311E78">
        <w:t xml:space="preserve">, </w:t>
      </w:r>
      <w:r w:rsidR="00DC7D07" w:rsidRPr="00311E78">
        <w:t xml:space="preserve">certaines personnes </w:t>
      </w:r>
      <w:r w:rsidR="00977E48" w:rsidRPr="00311E78">
        <w:t xml:space="preserve">aînées ou </w:t>
      </w:r>
      <w:r w:rsidR="00DC7D07" w:rsidRPr="00311E78">
        <w:t xml:space="preserve">ayant des limitations fonctionnelles </w:t>
      </w:r>
      <w:r w:rsidR="008C0A5E" w:rsidRPr="00311E78">
        <w:t xml:space="preserve">ne pourront pas utiliser de pailles </w:t>
      </w:r>
      <w:r w:rsidR="00F57B6F" w:rsidRPr="00311E78">
        <w:t xml:space="preserve">réutilisables </w:t>
      </w:r>
      <w:r w:rsidR="00C365BE" w:rsidRPr="00311E78">
        <w:t xml:space="preserve">(ex. : pailles en inox, en verre, en bambou ou en roseau), </w:t>
      </w:r>
      <w:r w:rsidR="008C0A5E" w:rsidRPr="00311E78">
        <w:t xml:space="preserve">qui </w:t>
      </w:r>
      <w:r w:rsidR="00F57B6F" w:rsidRPr="00311E78">
        <w:t xml:space="preserve">doivent être </w:t>
      </w:r>
      <w:r w:rsidR="008C0A5E" w:rsidRPr="00311E78">
        <w:t>nettoyées avec soin</w:t>
      </w:r>
      <w:r w:rsidR="008F097C" w:rsidRPr="00311E78">
        <w:t xml:space="preserve"> ou qui peuvent causer des blessures</w:t>
      </w:r>
      <w:r w:rsidR="008C0A5E" w:rsidRPr="00311E78">
        <w:t xml:space="preserve">. </w:t>
      </w:r>
    </w:p>
    <w:p w14:paraId="4C0D0DE9" w14:textId="264F24BE" w:rsidR="008C0A5E" w:rsidRPr="00311E78" w:rsidRDefault="00B56ECC" w:rsidP="00311E78">
      <w:r w:rsidRPr="00311E78">
        <w:t>Aussi, c</w:t>
      </w:r>
      <w:r w:rsidR="00F57B6F" w:rsidRPr="00311E78">
        <w:t xml:space="preserve">onsidérant </w:t>
      </w:r>
      <w:r w:rsidR="008C0FC6" w:rsidRPr="00311E78">
        <w:t>le coût</w:t>
      </w:r>
      <w:r w:rsidR="004C51D8" w:rsidRPr="00311E78">
        <w:t xml:space="preserve">, la difficulté d’approvisionnement (ex. : pailles en blé naturel) </w:t>
      </w:r>
      <w:r w:rsidR="008C0FC6" w:rsidRPr="00311E78">
        <w:t xml:space="preserve">ou la faible résistance à la chaleur </w:t>
      </w:r>
      <w:r w:rsidR="00BB5C70" w:rsidRPr="00311E78">
        <w:t xml:space="preserve">ou à l’humidité </w:t>
      </w:r>
      <w:r w:rsidR="002A063C" w:rsidRPr="00311E78">
        <w:t xml:space="preserve">(ex. : pailles en papier ou en carton, en canne à sucre) </w:t>
      </w:r>
      <w:r w:rsidR="008C0FC6" w:rsidRPr="00311E78">
        <w:t xml:space="preserve">des pailles </w:t>
      </w:r>
      <w:r w:rsidR="002A063C" w:rsidRPr="00311E78">
        <w:t xml:space="preserve">jetables </w:t>
      </w:r>
      <w:r w:rsidR="008C0FC6" w:rsidRPr="00311E78">
        <w:t>biodégradables</w:t>
      </w:r>
      <w:r w:rsidR="002A063C" w:rsidRPr="00311E78">
        <w:t xml:space="preserve">, ainsi que </w:t>
      </w:r>
      <w:r w:rsidR="00F57B6F" w:rsidRPr="00311E78">
        <w:t xml:space="preserve">la difficulté </w:t>
      </w:r>
      <w:r w:rsidR="002A063C" w:rsidRPr="00311E78">
        <w:t xml:space="preserve">d’entretien </w:t>
      </w:r>
      <w:r w:rsidR="00F57B6F" w:rsidRPr="00311E78">
        <w:t xml:space="preserve">des pailles </w:t>
      </w:r>
      <w:r w:rsidR="002A063C" w:rsidRPr="00311E78">
        <w:t xml:space="preserve">réutilisables, </w:t>
      </w:r>
      <w:r w:rsidR="00C365BE" w:rsidRPr="00311E78">
        <w:t>l</w:t>
      </w:r>
      <w:r w:rsidR="008C0A5E" w:rsidRPr="00311E78">
        <w:t xml:space="preserve">’interdiction </w:t>
      </w:r>
      <w:r w:rsidR="00184411" w:rsidRPr="00311E78">
        <w:t xml:space="preserve">totale </w:t>
      </w:r>
      <w:r w:rsidR="008C0A5E" w:rsidRPr="00311E78">
        <w:t>de</w:t>
      </w:r>
      <w:r w:rsidR="00184411" w:rsidRPr="00311E78">
        <w:t>s</w:t>
      </w:r>
      <w:r w:rsidR="008C0A5E" w:rsidRPr="00311E78">
        <w:t xml:space="preserve"> pailles de plastique à usage unique ne </w:t>
      </w:r>
      <w:r w:rsidR="00184411" w:rsidRPr="00311E78">
        <w:t xml:space="preserve">pourra </w:t>
      </w:r>
      <w:r w:rsidR="008C0A5E" w:rsidRPr="00311E78">
        <w:t xml:space="preserve">pas être </w:t>
      </w:r>
      <w:r w:rsidR="00184411" w:rsidRPr="00311E78">
        <w:t xml:space="preserve">adoptée </w:t>
      </w:r>
      <w:r w:rsidR="008C0A5E" w:rsidRPr="00311E78">
        <w:t>avant que d’autres produits</w:t>
      </w:r>
      <w:r w:rsidR="00184411" w:rsidRPr="00311E78">
        <w:t xml:space="preserve"> </w:t>
      </w:r>
      <w:r w:rsidR="00491097">
        <w:t xml:space="preserve">réellement adéquats </w:t>
      </w:r>
      <w:r w:rsidR="00184411" w:rsidRPr="00311E78">
        <w:t>soient disponibles, faciles à trouver et à coût modique</w:t>
      </w:r>
      <w:r w:rsidR="008C0A5E" w:rsidRPr="00311E78">
        <w:t xml:space="preserve">. En outre, aucun frais supplémentaire ne devra être engendré par l’utilisation de pailles à usage unique, qui devront </w:t>
      </w:r>
      <w:r w:rsidR="00977E48" w:rsidRPr="00311E78">
        <w:t xml:space="preserve">toujours </w:t>
      </w:r>
      <w:r w:rsidR="008C0A5E" w:rsidRPr="00311E78">
        <w:t xml:space="preserve">rester disponibles </w:t>
      </w:r>
      <w:r w:rsidR="00977E48" w:rsidRPr="00311E78">
        <w:t xml:space="preserve">dans les rayons des commerces de détail, et </w:t>
      </w:r>
      <w:r w:rsidR="008C0A5E" w:rsidRPr="00311E78">
        <w:t xml:space="preserve">sur demande dans les lieux de restauration. </w:t>
      </w:r>
    </w:p>
    <w:p w14:paraId="2BDB85A7" w14:textId="5ABB4510" w:rsidR="00440DCF" w:rsidRPr="00311E78" w:rsidRDefault="00440DCF" w:rsidP="00311E78">
      <w:r w:rsidRPr="00311E78">
        <w:t xml:space="preserve">En ce qui concerne l’interdiction de vendre et </w:t>
      </w:r>
      <w:r w:rsidR="00491097">
        <w:t xml:space="preserve">de </w:t>
      </w:r>
      <w:r w:rsidRPr="00311E78">
        <w:t>distribuer des bouteilles à usage unique dans les bâtiments municipau</w:t>
      </w:r>
      <w:r w:rsidR="002A3ED2">
        <w:t xml:space="preserve">x et lors d’événements publics </w:t>
      </w:r>
      <w:r w:rsidRPr="00311E78">
        <w:t xml:space="preserve">de la Ville (cf. : action 5.2.1), </w:t>
      </w:r>
      <w:r w:rsidR="00FD7684">
        <w:t>cela</w:t>
      </w:r>
      <w:r w:rsidRPr="00311E78">
        <w:t xml:space="preserve"> ne </w:t>
      </w:r>
      <w:r w:rsidR="00311E78" w:rsidRPr="00311E78">
        <w:t xml:space="preserve">pourra </w:t>
      </w:r>
      <w:r w:rsidR="00FD7684">
        <w:t>être appliqué</w:t>
      </w:r>
      <w:r w:rsidRPr="00311E78">
        <w:t xml:space="preserve"> </w:t>
      </w:r>
      <w:r w:rsidR="00FD7684">
        <w:t xml:space="preserve">pour les bouteilles d’eau </w:t>
      </w:r>
      <w:r w:rsidRPr="00311E78">
        <w:t xml:space="preserve">que si des infrastructures accessibles sont </w:t>
      </w:r>
      <w:r w:rsidR="00FD7684">
        <w:t xml:space="preserve">préalablement </w:t>
      </w:r>
      <w:r w:rsidRPr="00311E78">
        <w:t xml:space="preserve">mises en place pour permettre à tous les citoyens </w:t>
      </w:r>
      <w:r w:rsidR="00FD7684">
        <w:t xml:space="preserve">et citoyennes </w:t>
      </w:r>
      <w:r w:rsidRPr="00311E78">
        <w:t>d’avoir accès à de l’eau potable de bonne qualité</w:t>
      </w:r>
      <w:r w:rsidR="00DC3E7A">
        <w:t>,</w:t>
      </w:r>
      <w:r w:rsidRPr="00311E78">
        <w:t xml:space="preserve"> dans tous les édifices municipaux et </w:t>
      </w:r>
      <w:r w:rsidR="00923A7D">
        <w:t xml:space="preserve">lors des </w:t>
      </w:r>
      <w:r w:rsidRPr="00311E78">
        <w:t>événements publics. Aussi,</w:t>
      </w:r>
      <w:r w:rsidR="00FD7684">
        <w:t xml:space="preserve"> cet accès doit être facile, la distance</w:t>
      </w:r>
      <w:r w:rsidRPr="00311E78">
        <w:t xml:space="preserve"> à parcourir pour accéder </w:t>
      </w:r>
      <w:r w:rsidR="00FD7684">
        <w:t xml:space="preserve">par exemple à une fontaine </w:t>
      </w:r>
      <w:r w:rsidR="00FD7684" w:rsidRPr="00FD7684">
        <w:t xml:space="preserve">d’eau potable </w:t>
      </w:r>
      <w:r w:rsidR="00FD7684">
        <w:t>doit être courte</w:t>
      </w:r>
      <w:r w:rsidRPr="00311E78">
        <w:t>, et tous les équipements doivent être universellement accessibles pour permettre à tous les citoyens</w:t>
      </w:r>
      <w:r w:rsidR="00311E78" w:rsidRPr="00311E78">
        <w:t xml:space="preserve"> </w:t>
      </w:r>
      <w:r w:rsidR="00491097">
        <w:t xml:space="preserve">et citoyennes </w:t>
      </w:r>
      <w:r w:rsidR="00311E78" w:rsidRPr="00311E78">
        <w:t xml:space="preserve">d’y avoir accès en tout temps, en toute autonomie et en toute sécurité. </w:t>
      </w:r>
    </w:p>
    <w:p w14:paraId="1FA321A0" w14:textId="77777777" w:rsidR="008C0A5E" w:rsidRPr="00311E78" w:rsidRDefault="00B56ECC" w:rsidP="00311E78">
      <w:r w:rsidRPr="00311E78">
        <w:t>Par ailleurs, bien que ne faisant pas partie des actions présentées dans le Plan, l</w:t>
      </w:r>
      <w:r w:rsidR="008C0A5E" w:rsidRPr="00311E78">
        <w:t xml:space="preserve">’interdiction des sacs en plastique </w:t>
      </w:r>
      <w:r w:rsidR="00F079DE" w:rsidRPr="00311E78">
        <w:t xml:space="preserve">pourrait </w:t>
      </w:r>
      <w:r w:rsidR="008C0A5E" w:rsidRPr="00311E78">
        <w:t>soul</w:t>
      </w:r>
      <w:r w:rsidR="00F079DE" w:rsidRPr="00311E78">
        <w:t>e</w:t>
      </w:r>
      <w:r w:rsidR="008C0A5E" w:rsidRPr="00311E78">
        <w:t>ve</w:t>
      </w:r>
      <w:r w:rsidR="00F079DE" w:rsidRPr="00311E78">
        <w:t>r</w:t>
      </w:r>
      <w:r w:rsidR="008C0A5E" w:rsidRPr="00311E78">
        <w:t xml:space="preserve"> le problème de la récupération des déjections canines</w:t>
      </w:r>
      <w:r w:rsidR="00B30872" w:rsidRPr="00311E78">
        <w:t xml:space="preserve">, puisque les </w:t>
      </w:r>
      <w:r w:rsidR="0043553F" w:rsidRPr="00311E78">
        <w:t>sacs en papier ne peuvent pas convenir à toutes les personnes. En effet</w:t>
      </w:r>
      <w:r w:rsidR="00F079DE" w:rsidRPr="00311E78">
        <w:t xml:space="preserve">, </w:t>
      </w:r>
      <w:r w:rsidRPr="00311E78">
        <w:t xml:space="preserve">pour une personne aveugle qui va détecter les </w:t>
      </w:r>
      <w:r w:rsidR="00B30872" w:rsidRPr="00311E78">
        <w:t xml:space="preserve">excréments </w:t>
      </w:r>
      <w:r w:rsidRPr="00311E78">
        <w:t>de son chien guide à la chaleur, à travers le sac</w:t>
      </w:r>
      <w:r w:rsidR="0043553F" w:rsidRPr="00311E78">
        <w:t xml:space="preserve">, une épaisseur minimale de plastique est nécessaire pour utiliser le sac à </w:t>
      </w:r>
      <w:r w:rsidR="00B30872" w:rsidRPr="00311E78">
        <w:t xml:space="preserve">déjections canines </w:t>
      </w:r>
      <w:r w:rsidR="0043553F" w:rsidRPr="00311E78">
        <w:t>dans des conditions d’hygiène acceptable</w:t>
      </w:r>
      <w:r w:rsidR="00491097">
        <w:t>s</w:t>
      </w:r>
      <w:r w:rsidR="008C0A5E" w:rsidRPr="00311E78">
        <w:t>.</w:t>
      </w:r>
      <w:r w:rsidR="00F079DE" w:rsidRPr="00311E78">
        <w:t xml:space="preserve"> Là encore, l’interdiction de</w:t>
      </w:r>
      <w:r w:rsidR="00B30872" w:rsidRPr="00311E78">
        <w:t>s</w:t>
      </w:r>
      <w:r w:rsidR="00F079DE" w:rsidRPr="00311E78">
        <w:t xml:space="preserve"> sacs à </w:t>
      </w:r>
      <w:r w:rsidR="00B30872" w:rsidRPr="00311E78">
        <w:t xml:space="preserve">déjections canines </w:t>
      </w:r>
      <w:r w:rsidR="00F079DE" w:rsidRPr="00311E78">
        <w:t>en plastique ne pourra pas être adoptée tant que des produits alternatifs</w:t>
      </w:r>
      <w:r w:rsidR="00324334" w:rsidRPr="00311E78">
        <w:t xml:space="preserve">, qui </w:t>
      </w:r>
      <w:r w:rsidR="002F7764">
        <w:t>offrent l</w:t>
      </w:r>
      <w:r w:rsidR="00324334" w:rsidRPr="00311E78">
        <w:t>es conditions d’hygiène nécessaires,</w:t>
      </w:r>
      <w:r w:rsidR="00F079DE" w:rsidRPr="00311E78">
        <w:t xml:space="preserve"> ne seront pas disponibles sur le marché, à coût abordable</w:t>
      </w:r>
      <w:r w:rsidR="0043553F" w:rsidRPr="00311E78">
        <w:t xml:space="preserve">. </w:t>
      </w:r>
    </w:p>
    <w:p w14:paraId="03431C00" w14:textId="77777777" w:rsidR="00EE1DCE" w:rsidRDefault="00EE1DCE">
      <w:pPr>
        <w:spacing w:before="0" w:after="160" w:line="259" w:lineRule="auto"/>
      </w:pPr>
      <w:r>
        <w:br w:type="page"/>
      </w:r>
    </w:p>
    <w:p w14:paraId="504DB551" w14:textId="6CC2ABBB" w:rsidR="00311E78" w:rsidRDefault="00311E78" w:rsidP="008C0A5E">
      <w:r>
        <w:lastRenderedPageBreak/>
        <w:t xml:space="preserve">Recommandations : </w:t>
      </w:r>
    </w:p>
    <w:p w14:paraId="5031B51F" w14:textId="77777777" w:rsidR="00311E78" w:rsidRDefault="008C6120" w:rsidP="00D21333">
      <w:pPr>
        <w:numPr>
          <w:ilvl w:val="0"/>
          <w:numId w:val="14"/>
        </w:numPr>
      </w:pPr>
      <w:r>
        <w:t xml:space="preserve">Que l’interdiction des pailles de plastique ne soit adoptée que lorsque des produits alternatifs, soit des pailles jetables écologiques, seront disponibles </w:t>
      </w:r>
      <w:r w:rsidRPr="00311E78">
        <w:t>dans les rayons des commerces de détail</w:t>
      </w:r>
      <w:r>
        <w:t xml:space="preserve"> à </w:t>
      </w:r>
      <w:r w:rsidR="002F7764">
        <w:t xml:space="preserve">prix </w:t>
      </w:r>
      <w:r>
        <w:t>abordable</w:t>
      </w:r>
      <w:r w:rsidRPr="00311E78">
        <w:t xml:space="preserve">, </w:t>
      </w:r>
      <w:r>
        <w:t xml:space="preserve">ainsi que </w:t>
      </w:r>
      <w:r w:rsidRPr="00311E78">
        <w:t>dans les lieux de restauration.</w:t>
      </w:r>
      <w:r>
        <w:t xml:space="preserve"> </w:t>
      </w:r>
    </w:p>
    <w:p w14:paraId="1DFE5828" w14:textId="77777777" w:rsidR="008C6120" w:rsidRDefault="008C6120" w:rsidP="00D21333">
      <w:pPr>
        <w:numPr>
          <w:ilvl w:val="0"/>
          <w:numId w:val="14"/>
        </w:numPr>
      </w:pPr>
      <w:r>
        <w:t xml:space="preserve">Que l’interdiction des sacs </w:t>
      </w:r>
      <w:r w:rsidR="002F7764">
        <w:t xml:space="preserve">à déjections canines en plastique ne soit adoptée que lorsque des solutions alternatives, soit des sacs écologiques, à prix abordable et offrant les conditions d’hygiène nécessaires, seront disponibles dans tous les points </w:t>
      </w:r>
      <w:r w:rsidR="00491097">
        <w:t>de distribution de</w:t>
      </w:r>
      <w:r w:rsidR="002F7764">
        <w:t xml:space="preserve"> ce type de produits. </w:t>
      </w:r>
    </w:p>
    <w:p w14:paraId="4188AD9B" w14:textId="77777777" w:rsidR="002F7764" w:rsidRDefault="002F7764" w:rsidP="00D21333">
      <w:pPr>
        <w:numPr>
          <w:ilvl w:val="0"/>
          <w:numId w:val="14"/>
        </w:numPr>
      </w:pPr>
      <w:r>
        <w:t xml:space="preserve">Que l’interdiction des bouteilles d’eau à usage unique dans les édifices municipaux et </w:t>
      </w:r>
      <w:r w:rsidR="00491097">
        <w:t>lors d</w:t>
      </w:r>
      <w:r>
        <w:t xml:space="preserve">es événements publics n’entre en vigueur que lorsque </w:t>
      </w:r>
      <w:r w:rsidR="002A3ED2">
        <w:t>suffisamment</w:t>
      </w:r>
      <w:r w:rsidR="006A34B2">
        <w:t xml:space="preserve"> de </w:t>
      </w:r>
      <w:r>
        <w:t xml:space="preserve">fontaines d’eau potable </w:t>
      </w:r>
      <w:r w:rsidR="006524E1">
        <w:t xml:space="preserve">universellement accessibles </w:t>
      </w:r>
      <w:r>
        <w:t xml:space="preserve">seront </w:t>
      </w:r>
      <w:r w:rsidR="006A34B2">
        <w:t>installées</w:t>
      </w:r>
      <w:r w:rsidR="006524E1">
        <w:t>,</w:t>
      </w:r>
      <w:r w:rsidR="006A34B2">
        <w:t xml:space="preserve"> </w:t>
      </w:r>
      <w:r w:rsidR="006524E1">
        <w:t xml:space="preserve">et qu’elles seront faciles à trouver, à atteindre et à utiliser. </w:t>
      </w:r>
    </w:p>
    <w:p w14:paraId="3378DA31" w14:textId="77777777" w:rsidR="001713BD" w:rsidRDefault="007B1CC2" w:rsidP="00DC7D07">
      <w:pPr>
        <w:pStyle w:val="Heading3"/>
      </w:pPr>
      <w:r>
        <w:t xml:space="preserve">Distribution des circulaires </w:t>
      </w:r>
    </w:p>
    <w:p w14:paraId="3E575D32" w14:textId="2BF1A80E" w:rsidR="001370EC" w:rsidRDefault="00773BEC" w:rsidP="00086C0C">
      <w:r>
        <w:t>C’est avec beaucoup d’intérêt que n</w:t>
      </w:r>
      <w:r w:rsidR="00DC15E9">
        <w:t xml:space="preserve">ous </w:t>
      </w:r>
      <w:r w:rsidR="009E166E">
        <w:t>avons pris connaissance d</w:t>
      </w:r>
      <w:r w:rsidR="00DC15E9">
        <w:t xml:space="preserve">es recommandations </w:t>
      </w:r>
      <w:r w:rsidR="00102057">
        <w:t xml:space="preserve">adoptées par </w:t>
      </w:r>
      <w:r w:rsidR="00DC15E9">
        <w:t xml:space="preserve">la Commission </w:t>
      </w:r>
      <w:r w:rsidR="00102057">
        <w:t>en décembre 2019</w:t>
      </w:r>
      <w:r w:rsidR="00102057">
        <w:rPr>
          <w:rStyle w:val="FootnoteReference"/>
        </w:rPr>
        <w:footnoteReference w:id="27"/>
      </w:r>
      <w:r w:rsidR="00102057">
        <w:t xml:space="preserve">, </w:t>
      </w:r>
      <w:r w:rsidR="00DC15E9">
        <w:t xml:space="preserve">quant à la </w:t>
      </w:r>
      <w:r w:rsidR="00086C0C">
        <w:t xml:space="preserve">distribution </w:t>
      </w:r>
      <w:r w:rsidR="00102057">
        <w:t xml:space="preserve">à domicile </w:t>
      </w:r>
      <w:r w:rsidR="00DC15E9">
        <w:t>des circulaires</w:t>
      </w:r>
      <w:r w:rsidR="00102057">
        <w:t xml:space="preserve"> sur le territoire montréalais</w:t>
      </w:r>
      <w:r w:rsidR="00DC15E9">
        <w:t xml:space="preserve">. </w:t>
      </w:r>
    </w:p>
    <w:p w14:paraId="389F275F" w14:textId="307201E8" w:rsidR="00961DF6" w:rsidRDefault="00812CDD" w:rsidP="00086C0C">
      <w:r>
        <w:t xml:space="preserve">Étant donné </w:t>
      </w:r>
      <w:r w:rsidR="00A377E4">
        <w:t xml:space="preserve">que les circulaires permettent </w:t>
      </w:r>
      <w:r w:rsidR="00861520">
        <w:t>aux personnes ayant de faible</w:t>
      </w:r>
      <w:r w:rsidR="00706F9E">
        <w:t>s</w:t>
      </w:r>
      <w:r w:rsidR="00861520">
        <w:t xml:space="preserve"> compétences</w:t>
      </w:r>
      <w:r w:rsidR="00706F9E">
        <w:t xml:space="preserve"> en littératie</w:t>
      </w:r>
      <w:r w:rsidR="00861520">
        <w:t xml:space="preserve"> </w:t>
      </w:r>
      <w:r w:rsidR="00706F9E">
        <w:t>ou n’ayant pas accès à Internet, ainsi qu’</w:t>
      </w:r>
      <w:r w:rsidR="00A377E4">
        <w:t xml:space="preserve">aux </w:t>
      </w:r>
      <w:r w:rsidR="00086C0C">
        <w:t>ménages à faible revenu</w:t>
      </w:r>
      <w:r w:rsidR="00A85F5A">
        <w:t>,</w:t>
      </w:r>
      <w:r w:rsidR="00861520">
        <w:t xml:space="preserve"> </w:t>
      </w:r>
      <w:r w:rsidR="00A377E4">
        <w:t xml:space="preserve">d’être </w:t>
      </w:r>
      <w:r w:rsidR="00086C0C">
        <w:t>inform</w:t>
      </w:r>
      <w:r w:rsidR="00A377E4">
        <w:t>és</w:t>
      </w:r>
      <w:r w:rsidR="00086C0C">
        <w:t xml:space="preserve"> des rabais offerts dans les commerces de détail de proximité</w:t>
      </w:r>
      <w:r w:rsidR="00A377E4">
        <w:t>,</w:t>
      </w:r>
      <w:r w:rsidR="00086C0C">
        <w:t xml:space="preserve"> et ainsi</w:t>
      </w:r>
      <w:r w:rsidR="00A377E4">
        <w:t>,</w:t>
      </w:r>
      <w:r w:rsidR="00086C0C">
        <w:t xml:space="preserve"> </w:t>
      </w:r>
      <w:r w:rsidR="00A377E4">
        <w:t xml:space="preserve">de faire des économies, l’option d’adhésion, ou Opt-in, </w:t>
      </w:r>
      <w:r>
        <w:t xml:space="preserve">représente </w:t>
      </w:r>
      <w:r w:rsidR="00A377E4">
        <w:t xml:space="preserve">une solution </w:t>
      </w:r>
      <w:r>
        <w:t xml:space="preserve">permettant </w:t>
      </w:r>
      <w:r w:rsidR="00A377E4">
        <w:t xml:space="preserve">de </w:t>
      </w:r>
      <w:r w:rsidR="001370EC">
        <w:t>concilier</w:t>
      </w:r>
      <w:r w:rsidR="00A377E4">
        <w:t xml:space="preserve"> les besoins des personnes </w:t>
      </w:r>
      <w:r w:rsidR="001370EC">
        <w:t xml:space="preserve">à faible revenu et la </w:t>
      </w:r>
      <w:r w:rsidR="00AE398E">
        <w:t xml:space="preserve">réduction de </w:t>
      </w:r>
      <w:r w:rsidR="001370EC">
        <w:t xml:space="preserve">notre impact environnemental. Toutefois, </w:t>
      </w:r>
      <w:r w:rsidR="000867AE">
        <w:t xml:space="preserve">si cette solution </w:t>
      </w:r>
      <w:r w:rsidR="00AE398E">
        <w:t xml:space="preserve">est </w:t>
      </w:r>
      <w:r w:rsidR="000867AE">
        <w:t xml:space="preserve">retenue, </w:t>
      </w:r>
      <w:r w:rsidR="001370EC">
        <w:t xml:space="preserve">la Ville devra </w:t>
      </w:r>
      <w:r w:rsidR="00D26635">
        <w:t xml:space="preserve">non seulement </w:t>
      </w:r>
      <w:r w:rsidR="001370EC">
        <w:t xml:space="preserve">veiller à bien informer les citoyens montréalais </w:t>
      </w:r>
      <w:r w:rsidR="00C20671">
        <w:t xml:space="preserve">de ce changement réglementaire, mais elle devra également s’assurer de rendre le processus de demande d’adhésion simple et inclusif. </w:t>
      </w:r>
      <w:r w:rsidR="00D26635">
        <w:t>Aussi, s</w:t>
      </w:r>
      <w:r w:rsidR="00C20671">
        <w:t xml:space="preserve">i </w:t>
      </w:r>
      <w:r w:rsidR="009E47A7">
        <w:t xml:space="preserve">la présence </w:t>
      </w:r>
      <w:r w:rsidR="00C20671">
        <w:t xml:space="preserve">d’un autocollant devient </w:t>
      </w:r>
      <w:r w:rsidR="000867AE">
        <w:t xml:space="preserve">le moyen utilisé </w:t>
      </w:r>
      <w:r w:rsidR="00C20671">
        <w:t xml:space="preserve">pour identifier les personnes qui souhaitent recevoir les circulaires, </w:t>
      </w:r>
      <w:r w:rsidR="009E47A7">
        <w:t xml:space="preserve">cet autocollant </w:t>
      </w:r>
      <w:r w:rsidR="00C20671">
        <w:t>devra être disponible sur demande</w:t>
      </w:r>
      <w:r w:rsidR="00BA46B9">
        <w:t>,</w:t>
      </w:r>
      <w:r w:rsidR="00C20671">
        <w:t xml:space="preserve"> </w:t>
      </w:r>
      <w:r w:rsidR="00D26635">
        <w:t xml:space="preserve">en ligne, </w:t>
      </w:r>
      <w:r w:rsidR="00C20671">
        <w:t>par téléphone, par courriel ou par tout autre moyen</w:t>
      </w:r>
      <w:r w:rsidR="00D26635">
        <w:t xml:space="preserve"> accessible </w:t>
      </w:r>
      <w:r w:rsidR="00BA46B9">
        <w:t>à tous les citoyens</w:t>
      </w:r>
      <w:r w:rsidR="00DE7E87">
        <w:t xml:space="preserve"> et citoyennes</w:t>
      </w:r>
      <w:r w:rsidR="00BA46B9">
        <w:t xml:space="preserve">, y compris </w:t>
      </w:r>
      <w:r w:rsidR="00D26635">
        <w:t xml:space="preserve">aux personnes aînées ou ayant des limitations fonctionnelles, mais également dans </w:t>
      </w:r>
      <w:r w:rsidR="00C20671">
        <w:lastRenderedPageBreak/>
        <w:t xml:space="preserve">différents points de distribution, </w:t>
      </w:r>
      <w:r w:rsidR="00D26635">
        <w:t>comme des commerces de proximité</w:t>
      </w:r>
      <w:r w:rsidR="000867AE">
        <w:t xml:space="preserve"> ou </w:t>
      </w:r>
      <w:r w:rsidR="00D26635">
        <w:t xml:space="preserve">des centres communautaires. </w:t>
      </w:r>
    </w:p>
    <w:p w14:paraId="4CB64A0B" w14:textId="452EBDA6" w:rsidR="006F4CC7" w:rsidRDefault="009E47A7" w:rsidP="006F4CC7">
      <w:r>
        <w:t xml:space="preserve">En outre, la </w:t>
      </w:r>
      <w:r w:rsidR="006F4CC7">
        <w:t xml:space="preserve">stratégie d’information et de communication </w:t>
      </w:r>
      <w:r w:rsidR="008B6DFE">
        <w:t>mentionnée dans la sixième recommandation</w:t>
      </w:r>
      <w:r w:rsidR="009D11FD">
        <w:t xml:space="preserve"> de la Commission</w:t>
      </w:r>
      <w:r w:rsidR="008B6DFE">
        <w:t xml:space="preserve">, </w:t>
      </w:r>
      <w:r>
        <w:t xml:space="preserve">visant à </w:t>
      </w:r>
      <w:r w:rsidR="008B6DFE">
        <w:t xml:space="preserve">aviser </w:t>
      </w:r>
      <w:r>
        <w:t xml:space="preserve">la population montréalaise de ce changement réglementaire devra être inclusive, et </w:t>
      </w:r>
      <w:r w:rsidR="008B6DFE">
        <w:t xml:space="preserve">tenir compte des recommandations formulées dans la section « Communication et accès à l’information » du présent mémoire. </w:t>
      </w:r>
    </w:p>
    <w:p w14:paraId="08435C5E" w14:textId="528AEA4D" w:rsidR="006F4CC7" w:rsidRDefault="00301CD4" w:rsidP="006F4CC7">
      <w:r>
        <w:t>Finalement, considérant qu</w:t>
      </w:r>
      <w:r w:rsidR="00812CDD">
        <w:t>’advenant l’application des recommandations de la Commission,</w:t>
      </w:r>
      <w:r>
        <w:t xml:space="preserve"> les journaux locaux ne seront plus distribués aux personnes qui auront </w:t>
      </w:r>
      <w:r w:rsidR="00E1257F">
        <w:t xml:space="preserve">choisi </w:t>
      </w:r>
      <w:r>
        <w:t xml:space="preserve">de ne pas recevoir les circulaires, </w:t>
      </w:r>
      <w:r w:rsidR="00E1257F">
        <w:t xml:space="preserve">les </w:t>
      </w:r>
      <w:r w:rsidR="006F4CC7">
        <w:t xml:space="preserve">espaces de diffusion </w:t>
      </w:r>
      <w:r w:rsidR="00E1257F">
        <w:t xml:space="preserve">réservés dans les lieux publics devront être connus de tous, clairement identifiables et faciles d’accès. En outre, le nombre d’espaces de diffusion </w:t>
      </w:r>
      <w:r w:rsidR="00861520">
        <w:t xml:space="preserve">des journaux locaux </w:t>
      </w:r>
      <w:r w:rsidR="00E1257F">
        <w:t xml:space="preserve">devra être </w:t>
      </w:r>
      <w:r w:rsidR="00861520">
        <w:t xml:space="preserve">suffisant </w:t>
      </w:r>
      <w:r w:rsidR="00E1257F">
        <w:t xml:space="preserve">pour permettre à tous les </w:t>
      </w:r>
      <w:r w:rsidR="00DE7E87">
        <w:t>M</w:t>
      </w:r>
      <w:r w:rsidR="00E1257F">
        <w:t>ontréalais</w:t>
      </w:r>
      <w:r w:rsidR="00DE7E87">
        <w:t xml:space="preserve"> et Montréalaises</w:t>
      </w:r>
      <w:r w:rsidR="00E1257F">
        <w:t xml:space="preserve">, y compris aux personnes aînées ou ayant des limitations fonctionnelles, </w:t>
      </w:r>
      <w:r w:rsidR="00861520">
        <w:t xml:space="preserve">de ne pas avoir à parcourir de longues distances pour les obtenir. </w:t>
      </w:r>
    </w:p>
    <w:p w14:paraId="1B3B49DB" w14:textId="77777777" w:rsidR="006F4CC7" w:rsidRDefault="00A85F5A" w:rsidP="006F4CC7">
      <w:r>
        <w:t xml:space="preserve">Recommandations : </w:t>
      </w:r>
    </w:p>
    <w:p w14:paraId="4C8D29E1" w14:textId="28E0FE65" w:rsidR="00A85F5A" w:rsidRDefault="003D7EB8" w:rsidP="00DF33E8">
      <w:pPr>
        <w:numPr>
          <w:ilvl w:val="0"/>
          <w:numId w:val="14"/>
        </w:numPr>
      </w:pPr>
      <w:r w:rsidRPr="00864DA1">
        <w:t xml:space="preserve">Qu’advenant l’entrée en vigueur des recommandations de la </w:t>
      </w:r>
      <w:r w:rsidRPr="00864DA1">
        <w:rPr>
          <w:i/>
        </w:rPr>
        <w:t xml:space="preserve">Commission </w:t>
      </w:r>
      <w:r w:rsidR="00DF33E8" w:rsidRPr="00864DA1">
        <w:rPr>
          <w:i/>
        </w:rPr>
        <w:t>permanente sur l’eau, l’environnement, le développement durable et les grands parcs</w:t>
      </w:r>
      <w:r w:rsidRPr="00864DA1">
        <w:t>,</w:t>
      </w:r>
      <w:r>
        <w:t xml:space="preserve"> </w:t>
      </w:r>
      <w:r w:rsidR="00A85F5A">
        <w:t xml:space="preserve">le </w:t>
      </w:r>
      <w:r w:rsidR="008E3241">
        <w:t xml:space="preserve">processus d’adhésion à la </w:t>
      </w:r>
      <w:r w:rsidR="003F38DE">
        <w:t xml:space="preserve">liste de </w:t>
      </w:r>
      <w:r w:rsidR="008E3241">
        <w:t xml:space="preserve">distribution des circulaires à domicile </w:t>
      </w:r>
      <w:r w:rsidR="00497092">
        <w:t xml:space="preserve">soit </w:t>
      </w:r>
      <w:r w:rsidR="008E3241">
        <w:t>simple et inclusif</w:t>
      </w:r>
      <w:r w:rsidR="003F38DE">
        <w:t xml:space="preserve">, et que plusieurs modalités soient disponibles pour y souscrire. </w:t>
      </w:r>
    </w:p>
    <w:p w14:paraId="5E8C75FA" w14:textId="3FCA97AA" w:rsidR="00497092" w:rsidRDefault="00497092" w:rsidP="00D21333">
      <w:pPr>
        <w:numPr>
          <w:ilvl w:val="0"/>
          <w:numId w:val="14"/>
        </w:numPr>
      </w:pPr>
      <w:r>
        <w:t xml:space="preserve">Que la stratégie d’information et de communication visant à aviser la population montréalaise des changements réglementaires </w:t>
      </w:r>
      <w:r w:rsidR="00DE7E87">
        <w:t>quant à</w:t>
      </w:r>
      <w:r>
        <w:t xml:space="preserve"> la distribution des circulaires et des journaux locaux </w:t>
      </w:r>
      <w:r w:rsidR="00001F02">
        <w:t xml:space="preserve">prenne en compte </w:t>
      </w:r>
      <w:r>
        <w:t xml:space="preserve">les recommandations formulées dans la section « Communication et accès à l’information » du présent mémoire. </w:t>
      </w:r>
    </w:p>
    <w:p w14:paraId="4D96DE79" w14:textId="71FE9ACB" w:rsidR="00497092" w:rsidRDefault="00497092" w:rsidP="00D21333">
      <w:pPr>
        <w:numPr>
          <w:ilvl w:val="0"/>
          <w:numId w:val="14"/>
        </w:numPr>
      </w:pPr>
      <w:r>
        <w:t>Que les journaux locaux soient faciles à obtenir, en terme d’ac</w:t>
      </w:r>
      <w:r w:rsidR="00FD7684">
        <w:t>cessibilité et de proximité, pa</w:t>
      </w:r>
      <w:r>
        <w:t xml:space="preserve">r tous les citoyens </w:t>
      </w:r>
      <w:r w:rsidR="00DE7E87">
        <w:t>et citoyennes de la Ville</w:t>
      </w:r>
      <w:r w:rsidR="00FD7684">
        <w:t>, y compris pa</w:t>
      </w:r>
      <w:r>
        <w:t xml:space="preserve">r les personnes aînées ou ayant des limitations fonctionnelles. </w:t>
      </w:r>
    </w:p>
    <w:p w14:paraId="2FE19BF4" w14:textId="77777777" w:rsidR="006E55B9" w:rsidRDefault="006E55B9" w:rsidP="00BD6078">
      <w:pPr>
        <w:pStyle w:val="Heading2"/>
      </w:pPr>
      <w:bookmarkStart w:id="32" w:name="_Toc30437425"/>
      <w:r>
        <w:t>Collecte et récupération</w:t>
      </w:r>
      <w:r w:rsidR="00007A1C">
        <w:t xml:space="preserve"> </w:t>
      </w:r>
      <w:r w:rsidR="00ED4397">
        <w:t>des déchets</w:t>
      </w:r>
      <w:bookmarkEnd w:id="32"/>
      <w:r w:rsidR="00ED4397">
        <w:t xml:space="preserve"> </w:t>
      </w:r>
    </w:p>
    <w:p w14:paraId="7D28AADD" w14:textId="6BF2B4F1" w:rsidR="003841B1" w:rsidRDefault="003841B1" w:rsidP="00EE0C3B">
      <w:r>
        <w:t>Comme nous l’avons déjà mentionné dans ce mémoire, la majorité des personnes aînées ou ayant des limitations fonctionnelles qui résident sur le territoire montréalai</w:t>
      </w:r>
      <w:r w:rsidR="00DE7E87">
        <w:t>s vivent dans des immeubles de deux</w:t>
      </w:r>
      <w:r>
        <w:t xml:space="preserve"> logements ou plus, et un grand nombre d’entre elles vivent seules. Aussi, d</w:t>
      </w:r>
      <w:r w:rsidR="00EE0C3B">
        <w:t>ans un contexte de diversification des types de collectes, l</w:t>
      </w:r>
      <w:r w:rsidR="00EE0C3B" w:rsidRPr="00BB6823">
        <w:t xml:space="preserve">es méthodes </w:t>
      </w:r>
      <w:r w:rsidR="00EE0C3B">
        <w:t xml:space="preserve">et services </w:t>
      </w:r>
      <w:r w:rsidR="00EE0C3B" w:rsidRPr="00BB6823">
        <w:t>de collecte de</w:t>
      </w:r>
      <w:r w:rsidR="00DE7E87">
        <w:t>vront être non seulement adapté</w:t>
      </w:r>
      <w:r w:rsidR="00EE0C3B">
        <w:t>s</w:t>
      </w:r>
      <w:r w:rsidR="002F0BC3">
        <w:t xml:space="preserve"> </w:t>
      </w:r>
      <w:r w:rsidR="00EE0C3B" w:rsidRPr="00BB6823">
        <w:t xml:space="preserve">au bâti, mais </w:t>
      </w:r>
      <w:r w:rsidR="00EE0C3B" w:rsidRPr="00BB6823">
        <w:lastRenderedPageBreak/>
        <w:t>aussi au contexte socioculturel</w:t>
      </w:r>
      <w:r w:rsidR="00EE0C3B">
        <w:t xml:space="preserve">, ce qui implique une prise en compte des besoins des personnes aînées et </w:t>
      </w:r>
      <w:r w:rsidR="00FD7684">
        <w:t xml:space="preserve">des personnes </w:t>
      </w:r>
      <w:r w:rsidR="00EE0C3B">
        <w:t xml:space="preserve">ayant des limitations fonctionnelles en terme d’organisation des services, d’aménagement, de signalisation et d’information. </w:t>
      </w:r>
    </w:p>
    <w:p w14:paraId="1C2FEE94" w14:textId="646B1E5C" w:rsidR="00166B80" w:rsidRDefault="00166B80" w:rsidP="00EE0C3B">
      <w:r>
        <w:t>Par ailleurs, à la demande des Québécoises et des Québécois, l</w:t>
      </w:r>
      <w:r w:rsidR="00EB4875">
        <w:t xml:space="preserve">es politiques gouvernementales actuelles favorisent le maintien à domicile des personnes aînées et </w:t>
      </w:r>
      <w:r w:rsidR="00FD7684">
        <w:t xml:space="preserve">des personnes </w:t>
      </w:r>
      <w:r w:rsidR="00EB4875">
        <w:t xml:space="preserve">ayant des limitations fonctionnelles. </w:t>
      </w:r>
      <w:r>
        <w:t xml:space="preserve">Au demeurant, </w:t>
      </w:r>
      <w:r w:rsidR="00F43C60">
        <w:t xml:space="preserve">dans un contexte de vieillissement de la population, et </w:t>
      </w:r>
      <w:r>
        <w:t>s</w:t>
      </w:r>
      <w:r>
        <w:rPr>
          <w:rFonts w:eastAsia="Calibri" w:cs="Arial"/>
          <w:szCs w:val="24"/>
        </w:rPr>
        <w:t xml:space="preserve">achant que </w:t>
      </w:r>
      <w:r w:rsidR="00F43C60">
        <w:rPr>
          <w:rFonts w:eastAsia="Calibri" w:cs="Arial"/>
          <w:szCs w:val="24"/>
        </w:rPr>
        <w:t>l</w:t>
      </w:r>
      <w:r>
        <w:rPr>
          <w:rFonts w:eastAsia="Calibri" w:cs="Arial"/>
          <w:szCs w:val="24"/>
        </w:rPr>
        <w:t xml:space="preserve">es incapacités et </w:t>
      </w:r>
      <w:r w:rsidR="00F43C60">
        <w:rPr>
          <w:rFonts w:eastAsia="Calibri" w:cs="Arial"/>
          <w:szCs w:val="24"/>
        </w:rPr>
        <w:t>l</w:t>
      </w:r>
      <w:r w:rsidRPr="00115AC4">
        <w:rPr>
          <w:rFonts w:eastAsia="Calibri" w:cs="Arial"/>
          <w:szCs w:val="24"/>
        </w:rPr>
        <w:t>e</w:t>
      </w:r>
      <w:r>
        <w:rPr>
          <w:rFonts w:eastAsia="Calibri" w:cs="Arial"/>
          <w:szCs w:val="24"/>
        </w:rPr>
        <w:t>s</w:t>
      </w:r>
      <w:r w:rsidRPr="00115AC4">
        <w:rPr>
          <w:rFonts w:eastAsia="Calibri" w:cs="Arial"/>
          <w:szCs w:val="24"/>
        </w:rPr>
        <w:t xml:space="preserve"> maladies chroniques</w:t>
      </w:r>
      <w:r w:rsidR="00F43C60">
        <w:rPr>
          <w:rFonts w:eastAsia="Calibri" w:cs="Arial"/>
          <w:szCs w:val="24"/>
        </w:rPr>
        <w:t xml:space="preserve"> augmentent avec l’âge, le domicile devient </w:t>
      </w:r>
      <w:r w:rsidR="002641C7">
        <w:rPr>
          <w:rFonts w:eastAsia="Calibri" w:cs="Arial"/>
          <w:szCs w:val="24"/>
        </w:rPr>
        <w:t xml:space="preserve">progressivement </w:t>
      </w:r>
      <w:r w:rsidR="00F43C60">
        <w:rPr>
          <w:rFonts w:eastAsia="Calibri" w:cs="Arial"/>
          <w:szCs w:val="24"/>
        </w:rPr>
        <w:t xml:space="preserve">un lieu </w:t>
      </w:r>
      <w:r w:rsidR="00B70756">
        <w:rPr>
          <w:rFonts w:eastAsia="Calibri" w:cs="Arial"/>
          <w:szCs w:val="24"/>
        </w:rPr>
        <w:t>où</w:t>
      </w:r>
      <w:r w:rsidR="00F43C60">
        <w:rPr>
          <w:rFonts w:eastAsia="Calibri" w:cs="Arial"/>
          <w:szCs w:val="24"/>
        </w:rPr>
        <w:t xml:space="preserve"> des </w:t>
      </w:r>
      <w:r w:rsidR="00260B7A">
        <w:rPr>
          <w:rFonts w:eastAsia="Calibri" w:cs="Arial"/>
          <w:szCs w:val="24"/>
        </w:rPr>
        <w:t xml:space="preserve">services de santé et des soins </w:t>
      </w:r>
      <w:r w:rsidR="00F43C60">
        <w:rPr>
          <w:rFonts w:eastAsia="Calibri" w:cs="Arial"/>
          <w:szCs w:val="24"/>
        </w:rPr>
        <w:t xml:space="preserve">sont prodigués. </w:t>
      </w:r>
      <w:r w:rsidR="00260B7A">
        <w:rPr>
          <w:rFonts w:eastAsia="Calibri" w:cs="Arial"/>
          <w:szCs w:val="24"/>
        </w:rPr>
        <w:t xml:space="preserve">En conséquence, </w:t>
      </w:r>
      <w:r w:rsidR="00CC77E2">
        <w:rPr>
          <w:rFonts w:eastAsia="Calibri" w:cs="Arial"/>
          <w:szCs w:val="24"/>
        </w:rPr>
        <w:t xml:space="preserve">du </w:t>
      </w:r>
      <w:r w:rsidR="00260B7A">
        <w:rPr>
          <w:rFonts w:eastAsia="Calibri" w:cs="Arial"/>
          <w:szCs w:val="24"/>
        </w:rPr>
        <w:t>matériel médical et de</w:t>
      </w:r>
      <w:r w:rsidR="00CC77E2">
        <w:rPr>
          <w:rFonts w:eastAsia="Calibri" w:cs="Arial"/>
          <w:szCs w:val="24"/>
        </w:rPr>
        <w:t>s</w:t>
      </w:r>
      <w:r w:rsidR="00260B7A">
        <w:rPr>
          <w:rFonts w:eastAsia="Calibri" w:cs="Arial"/>
          <w:szCs w:val="24"/>
        </w:rPr>
        <w:t xml:space="preserve"> produits d’incontinence ou de</w:t>
      </w:r>
      <w:r w:rsidR="00CC77E2">
        <w:rPr>
          <w:rFonts w:eastAsia="Calibri" w:cs="Arial"/>
          <w:szCs w:val="24"/>
        </w:rPr>
        <w:t>s</w:t>
      </w:r>
      <w:r w:rsidR="00260B7A">
        <w:rPr>
          <w:rFonts w:eastAsia="Calibri" w:cs="Arial"/>
          <w:szCs w:val="24"/>
        </w:rPr>
        <w:t xml:space="preserve"> fournitures d’élimination </w:t>
      </w:r>
      <w:r w:rsidR="00CC77E2">
        <w:rPr>
          <w:rFonts w:eastAsia="Calibri" w:cs="Arial"/>
          <w:szCs w:val="24"/>
        </w:rPr>
        <w:t xml:space="preserve">sont utilisés à l’intérieur de la sphère privée, et doivent donc être stockés et éliminés. De fait, cette nouvelle réalité doit nécessairement être considérée dans toutes les décisions relatives à la collecte des matières résiduelles. </w:t>
      </w:r>
    </w:p>
    <w:p w14:paraId="75E054D7" w14:textId="77777777" w:rsidR="00C13A9B" w:rsidRDefault="00F60331" w:rsidP="002D2EE8">
      <w:pPr>
        <w:pStyle w:val="Heading3"/>
      </w:pPr>
      <w:r>
        <w:t xml:space="preserve">Diversification des types </w:t>
      </w:r>
      <w:r w:rsidR="002D2EE8">
        <w:t xml:space="preserve">de collecte </w:t>
      </w:r>
    </w:p>
    <w:p w14:paraId="3A23BB56" w14:textId="2FC69EAC" w:rsidR="001B545E" w:rsidRDefault="001B545E" w:rsidP="001B545E">
      <w:r>
        <w:t xml:space="preserve">Pour s’assurer d’une récupération optimale des déchets, des </w:t>
      </w:r>
      <w:r w:rsidRPr="00174C19">
        <w:t>collecte</w:t>
      </w:r>
      <w:r>
        <w:t>s</w:t>
      </w:r>
      <w:r w:rsidRPr="00174C19">
        <w:t xml:space="preserve"> en bordure de rue</w:t>
      </w:r>
      <w:r>
        <w:t>,</w:t>
      </w:r>
      <w:r w:rsidRPr="00174C19">
        <w:t xml:space="preserve"> </w:t>
      </w:r>
      <w:r>
        <w:t xml:space="preserve">sur une base </w:t>
      </w:r>
      <w:r w:rsidRPr="00174C19">
        <w:t>régulière ou ponctuelle</w:t>
      </w:r>
      <w:r>
        <w:t>, devront être organisées pour tous les types de déchets, à l’instar de ce que le Plan prévoit pour la récupération des résidus domestiques dangereux (cf. : action 4.3.1). Ainsi, tous les services de collecte devront être repensés pour tenir compte des besoins de tous les citoyens</w:t>
      </w:r>
      <w:r w:rsidR="00B70756">
        <w:t xml:space="preserve"> et citoyennes</w:t>
      </w:r>
      <w:r>
        <w:t xml:space="preserve">, </w:t>
      </w:r>
      <w:r w:rsidR="00F86B9C">
        <w:t xml:space="preserve">considérant que </w:t>
      </w:r>
      <w:r w:rsidR="00AF33ED">
        <w:t xml:space="preserve">dans les prochaines années, </w:t>
      </w:r>
      <w:r w:rsidR="00F86B9C">
        <w:t>de plus en plus de Montréalais</w:t>
      </w:r>
      <w:r w:rsidR="00DE7E87">
        <w:t xml:space="preserve"> et Montréalaises</w:t>
      </w:r>
      <w:r w:rsidR="00F86B9C">
        <w:t xml:space="preserve">, quel que </w:t>
      </w:r>
      <w:r w:rsidR="00DE7E87">
        <w:t>soit leur âge ou leur</w:t>
      </w:r>
      <w:r w:rsidR="00F86B9C">
        <w:t xml:space="preserve"> limitat</w:t>
      </w:r>
      <w:r w:rsidR="00B70756">
        <w:t>ion, n’auront pa</w:t>
      </w:r>
      <w:r w:rsidR="00DE7E87">
        <w:t>s de véhicule</w:t>
      </w:r>
      <w:r w:rsidR="00F86B9C">
        <w:t xml:space="preserve"> pour se rendre aux écocentres. </w:t>
      </w:r>
    </w:p>
    <w:p w14:paraId="07D69635" w14:textId="77777777" w:rsidR="00794F32" w:rsidRDefault="00794F32" w:rsidP="001B545E">
      <w:r>
        <w:t xml:space="preserve">Recommandation : </w:t>
      </w:r>
    </w:p>
    <w:p w14:paraId="4E4D1910" w14:textId="26F9A28F" w:rsidR="00794F32" w:rsidRDefault="00B13BFC" w:rsidP="00D21333">
      <w:pPr>
        <w:numPr>
          <w:ilvl w:val="0"/>
          <w:numId w:val="14"/>
        </w:numPr>
      </w:pPr>
      <w:r>
        <w:t>Pour s’assurer d’une récupération optimale des déchets, q</w:t>
      </w:r>
      <w:r w:rsidR="00794F32">
        <w:t xml:space="preserve">ue des services de collecte en bordure de rue soient offerts, sur une base régulière ou ponctuelle, </w:t>
      </w:r>
      <w:r w:rsidR="003D7EB8">
        <w:t xml:space="preserve">et ce, </w:t>
      </w:r>
      <w:r w:rsidR="00794F32">
        <w:t xml:space="preserve">pour tous les types de déchets. </w:t>
      </w:r>
    </w:p>
    <w:p w14:paraId="7EC76249" w14:textId="77777777" w:rsidR="00794F32" w:rsidRDefault="002D79CD" w:rsidP="002D79CD">
      <w:pPr>
        <w:pStyle w:val="Heading3"/>
      </w:pPr>
      <w:r>
        <w:t>Heures de d</w:t>
      </w:r>
      <w:r w:rsidR="00F60331">
        <w:t xml:space="preserve">épôt </w:t>
      </w:r>
      <w:r>
        <w:t xml:space="preserve">autorisées </w:t>
      </w:r>
    </w:p>
    <w:p w14:paraId="421284CD" w14:textId="1A6DB751" w:rsidR="007758C7" w:rsidRDefault="007758C7" w:rsidP="007758C7">
      <w:r>
        <w:t xml:space="preserve">Les plages horaires autorisées pour sortir </w:t>
      </w:r>
      <w:r w:rsidR="00DE2ED9">
        <w:t xml:space="preserve">les bacs de recyclage, les bacs des résidus alimentaires (compost) ou les bacs des déchets domestiques </w:t>
      </w:r>
      <w:r>
        <w:t xml:space="preserve">diffèrent selon les arrondissements et les types de collectes. Alors que certains arrondissements permettent aux citoyens de sortir leurs bacs environ 12 heures avant le début de </w:t>
      </w:r>
      <w:r w:rsidR="00F46C78">
        <w:t xml:space="preserve">la </w:t>
      </w:r>
      <w:r>
        <w:t xml:space="preserve">collecte (ex. : </w:t>
      </w:r>
      <w:r w:rsidR="00864DA1">
        <w:t xml:space="preserve">dès </w:t>
      </w:r>
      <w:r>
        <w:t xml:space="preserve">20h00 </w:t>
      </w:r>
      <w:r w:rsidR="001D1AE4">
        <w:t xml:space="preserve">la veille </w:t>
      </w:r>
      <w:r w:rsidR="00F43EB2">
        <w:t xml:space="preserve">pour une collecte qui </w:t>
      </w:r>
      <w:r w:rsidR="00F46C78">
        <w:t xml:space="preserve">commence </w:t>
      </w:r>
      <w:r w:rsidR="00F43EB2">
        <w:t xml:space="preserve">à </w:t>
      </w:r>
      <w:r>
        <w:t>8h00</w:t>
      </w:r>
      <w:r w:rsidR="006B22C7">
        <w:t>),</w:t>
      </w:r>
      <w:r>
        <w:t xml:space="preserve"> d’autres </w:t>
      </w:r>
      <w:r w:rsidR="00F43EB2">
        <w:t xml:space="preserve">n’accordent </w:t>
      </w:r>
      <w:r w:rsidR="006B22C7">
        <w:t>qu’un délai</w:t>
      </w:r>
      <w:r w:rsidR="001D1AE4">
        <w:t xml:space="preserve"> de deux</w:t>
      </w:r>
      <w:r w:rsidR="00F43EB2">
        <w:t xml:space="preserve"> heures (ex. : </w:t>
      </w:r>
      <w:r w:rsidR="00F46C78">
        <w:t xml:space="preserve">entre </w:t>
      </w:r>
      <w:r w:rsidR="00F43EB2">
        <w:t xml:space="preserve">6h00 </w:t>
      </w:r>
      <w:r w:rsidR="00F46C78">
        <w:t xml:space="preserve">et </w:t>
      </w:r>
      <w:r w:rsidR="00F43EB2">
        <w:t xml:space="preserve">8h00) avant le début de certaines collectes. </w:t>
      </w:r>
    </w:p>
    <w:p w14:paraId="5B7D9718" w14:textId="7C7D1A5F" w:rsidR="007758C7" w:rsidRDefault="007758C7" w:rsidP="007758C7">
      <w:r>
        <w:t xml:space="preserve">Or, </w:t>
      </w:r>
      <w:r w:rsidR="00F46C78">
        <w:t xml:space="preserve">de nombreuses </w:t>
      </w:r>
      <w:r>
        <w:t xml:space="preserve">personnes </w:t>
      </w:r>
      <w:r w:rsidR="00F46C78">
        <w:t xml:space="preserve">aînées ou </w:t>
      </w:r>
      <w:r>
        <w:t xml:space="preserve">ayant des limitations fonctionnelles ne sont pas capables de sortir </w:t>
      </w:r>
      <w:r w:rsidR="006B22C7">
        <w:t>leurs bacs seul</w:t>
      </w:r>
      <w:r w:rsidR="001D1AE4">
        <w:t>e</w:t>
      </w:r>
      <w:r w:rsidR="006B22C7">
        <w:t>s</w:t>
      </w:r>
      <w:r>
        <w:t>, et doivent attendre la venue d’un aidant.</w:t>
      </w:r>
      <w:r w:rsidR="00F46C78">
        <w:t xml:space="preserve"> En </w:t>
      </w:r>
      <w:r w:rsidR="00F46C78">
        <w:lastRenderedPageBreak/>
        <w:t>conséquence</w:t>
      </w:r>
      <w:r>
        <w:t xml:space="preserve">, </w:t>
      </w:r>
      <w:r w:rsidR="00F46C78">
        <w:t>c</w:t>
      </w:r>
      <w:r>
        <w:t xml:space="preserve">es personnes ne </w:t>
      </w:r>
      <w:r w:rsidR="00F46C78">
        <w:t xml:space="preserve">peuvent </w:t>
      </w:r>
      <w:r>
        <w:t xml:space="preserve">pas respecter la réglementation, et </w:t>
      </w:r>
      <w:r w:rsidR="00F46C78">
        <w:t xml:space="preserve">doivent </w:t>
      </w:r>
      <w:r w:rsidR="001D1AE4">
        <w:t>faire sortir leur bac par un</w:t>
      </w:r>
      <w:r>
        <w:t xml:space="preserve"> préposé ou par un proche aidant la veille de la collecte, </w:t>
      </w:r>
      <w:r w:rsidR="001D1AE4">
        <w:t>même si cela correspond à un horaire hors de</w:t>
      </w:r>
      <w:r>
        <w:t xml:space="preserve"> la plage aut</w:t>
      </w:r>
      <w:r w:rsidR="00B70756">
        <w:t>orisée. Elle</w:t>
      </w:r>
      <w:r>
        <w:t xml:space="preserve">s </w:t>
      </w:r>
      <w:r w:rsidR="001C14F0">
        <w:t xml:space="preserve">peuvent </w:t>
      </w:r>
      <w:r w:rsidR="00F46C78">
        <w:t xml:space="preserve">ainsi </w:t>
      </w:r>
      <w:r w:rsidR="001C14F0">
        <w:t xml:space="preserve">faire </w:t>
      </w:r>
      <w:r>
        <w:t xml:space="preserve">face à des constats d’infraction, qui engendrent des coûts supplémentaires. </w:t>
      </w:r>
    </w:p>
    <w:p w14:paraId="7C1A5FC3" w14:textId="77777777" w:rsidR="00FE165F" w:rsidRDefault="00FE165F" w:rsidP="007758C7">
      <w:r>
        <w:t xml:space="preserve">En outre, durant l’hiver, plusieurs personnes aînées ou ayant des limitations fonctionnelles, notamment celles qui se déplacent en </w:t>
      </w:r>
      <w:r w:rsidR="006B22C7">
        <w:t>fauteuil, doivent</w:t>
      </w:r>
      <w:r>
        <w:t xml:space="preserve"> attendre le passage d’un service de déneigement pour pouvoir sortir leurs bacs sur le </w:t>
      </w:r>
      <w:r w:rsidR="006B22C7">
        <w:t>trottoir</w:t>
      </w:r>
      <w:r>
        <w:t xml:space="preserve">. </w:t>
      </w:r>
    </w:p>
    <w:p w14:paraId="1AD8B933" w14:textId="4E816FF3" w:rsidR="002D79CD" w:rsidRDefault="00FE165F" w:rsidP="001B545E">
      <w:r>
        <w:t>Recommandation</w:t>
      </w:r>
      <w:r w:rsidR="00B70756">
        <w:t>s</w:t>
      </w:r>
      <w:r>
        <w:t xml:space="preserve"> : </w:t>
      </w:r>
    </w:p>
    <w:p w14:paraId="074588A9" w14:textId="4854C7BA" w:rsidR="00FE165F" w:rsidRDefault="00FE165F" w:rsidP="00D21333">
      <w:pPr>
        <w:numPr>
          <w:ilvl w:val="0"/>
          <w:numId w:val="14"/>
        </w:numPr>
      </w:pPr>
      <w:r>
        <w:t xml:space="preserve">Que les heures autorisées pour sortir </w:t>
      </w:r>
      <w:r w:rsidR="00DE2ED9">
        <w:t xml:space="preserve">les bacs de recyclage, les bacs des résidus alimentaires et les bacs des déchets domestiques </w:t>
      </w:r>
      <w:r>
        <w:t xml:space="preserve">soient étendues et harmonisées dans tous les arrondissements. </w:t>
      </w:r>
    </w:p>
    <w:p w14:paraId="777F12A5" w14:textId="7FDB4ACF" w:rsidR="003315F7" w:rsidRPr="002332FE" w:rsidRDefault="003315F7" w:rsidP="002332FE">
      <w:pPr>
        <w:numPr>
          <w:ilvl w:val="0"/>
          <w:numId w:val="14"/>
        </w:numPr>
      </w:pPr>
      <w:r>
        <w:t xml:space="preserve">Que les bacs puissent être sortis la veille de la collecte, </w:t>
      </w:r>
      <w:r w:rsidR="00D14317">
        <w:t xml:space="preserve">et non uniquement quelques heures avant le début de celle-ci, </w:t>
      </w:r>
      <w:r w:rsidR="00E62159">
        <w:t xml:space="preserve">pour que les </w:t>
      </w:r>
      <w:r>
        <w:t xml:space="preserve">personnes </w:t>
      </w:r>
      <w:r w:rsidR="00253B38">
        <w:t xml:space="preserve">incapables de </w:t>
      </w:r>
      <w:r w:rsidR="00E62159">
        <w:t xml:space="preserve">le faire seules puissent </w:t>
      </w:r>
      <w:r w:rsidR="00253B38">
        <w:t xml:space="preserve">demander à </w:t>
      </w:r>
      <w:r w:rsidR="00E62159">
        <w:t>un aidant</w:t>
      </w:r>
      <w:r w:rsidR="00253B38">
        <w:t xml:space="preserve"> de s’en occuper</w:t>
      </w:r>
      <w:r w:rsidR="002332FE">
        <w:t>,</w:t>
      </w:r>
      <w:r w:rsidR="00A90EAC">
        <w:t xml:space="preserve"> </w:t>
      </w:r>
      <w:r w:rsidR="002332FE" w:rsidRPr="002332FE">
        <w:t>et pour que celles ayant des horaires de travail incompatibles avec le créneau de collecte ne soient pas non plus pénalisées</w:t>
      </w:r>
      <w:r w:rsidR="002332FE">
        <w:t>.</w:t>
      </w:r>
    </w:p>
    <w:p w14:paraId="1198788A" w14:textId="77777777" w:rsidR="00F86B9C" w:rsidRDefault="00401F95" w:rsidP="00401F95">
      <w:pPr>
        <w:pStyle w:val="Heading3"/>
      </w:pPr>
      <w:r>
        <w:t xml:space="preserve">Fréquence des collectes </w:t>
      </w:r>
    </w:p>
    <w:p w14:paraId="21550201" w14:textId="14C54638" w:rsidR="00945CF5" w:rsidRDefault="00945CF5" w:rsidP="00945CF5">
      <w:r>
        <w:t>L</w:t>
      </w:r>
      <w:r w:rsidRPr="00827A6A">
        <w:t>’espacement des collectes d’ordures ménagères</w:t>
      </w:r>
      <w:r>
        <w:t xml:space="preserve">, visant à </w:t>
      </w:r>
      <w:r w:rsidRPr="00827A6A">
        <w:t>passer d’une fréquence hebdomadaire à une fréquence bimensuelle</w:t>
      </w:r>
      <w:r>
        <w:t xml:space="preserve"> (cf. : action 6.3.4), pourrait avoir un impact significatif sur des personnes aînées ou ayant des limitations fonctionnelles. En effet, dans un contexte urbain où une majorité de </w:t>
      </w:r>
      <w:r w:rsidRPr="003D010F">
        <w:t>personnes vivent dans</w:t>
      </w:r>
      <w:r>
        <w:t xml:space="preserve"> des condos ou dans des appartements, les personnes aînées ou ayant des limitations fonctionnelles qui utilisent des fournitures médicales ou d’élimination, ne pourraient pas conserver leurs sacs d’ordures ménagères à l’inté</w:t>
      </w:r>
      <w:r w:rsidR="001D1AE4">
        <w:t>rieur de leur logement pendant deux</w:t>
      </w:r>
      <w:r>
        <w:t xml:space="preserve"> semaines, surtout </w:t>
      </w:r>
      <w:r w:rsidR="001C14F0">
        <w:t>durant l’</w:t>
      </w:r>
      <w:r>
        <w:t xml:space="preserve">été. </w:t>
      </w:r>
    </w:p>
    <w:p w14:paraId="553A98DC" w14:textId="77777777" w:rsidR="00945CF5" w:rsidRDefault="00945CF5" w:rsidP="00945CF5">
      <w:r>
        <w:t xml:space="preserve">Aussi, une réduction de la fréquence de la collecte des ordures ménagères ne saurait être envisagée sans la mise en place de mesures alternatives. Toutefois, demander à ces personnes de s’identifier afin de bénéficier d’une exemption, représenterait un défi en termes d’acceptabilité sociale et de respect du droit à la dignité. </w:t>
      </w:r>
    </w:p>
    <w:p w14:paraId="4407081D" w14:textId="77777777" w:rsidR="00945CF5" w:rsidRDefault="00945CF5" w:rsidP="00945CF5">
      <w:r>
        <w:t xml:space="preserve">Recommandations : </w:t>
      </w:r>
    </w:p>
    <w:p w14:paraId="5CCF125B" w14:textId="55B8BC42" w:rsidR="00945CF5" w:rsidRDefault="00945CF5" w:rsidP="00D21333">
      <w:pPr>
        <w:numPr>
          <w:ilvl w:val="0"/>
          <w:numId w:val="14"/>
        </w:numPr>
      </w:pPr>
      <w:r>
        <w:t xml:space="preserve">Que les impacts d’un espacement des collectes des ordures ménagères sur les personnes aînées </w:t>
      </w:r>
      <w:r w:rsidR="00B70756">
        <w:t>et sur les personnes</w:t>
      </w:r>
      <w:r>
        <w:t xml:space="preserve"> ayant des limitations fonctionnelles fasse l’objet d’une étude attentive et approfondie avant d’être adopté. </w:t>
      </w:r>
    </w:p>
    <w:p w14:paraId="0F001463" w14:textId="7DEBA571" w:rsidR="00401F95" w:rsidRPr="00401F95" w:rsidRDefault="00B70756" w:rsidP="00D21333">
      <w:pPr>
        <w:numPr>
          <w:ilvl w:val="0"/>
          <w:numId w:val="14"/>
        </w:numPr>
      </w:pPr>
      <w:r>
        <w:lastRenderedPageBreak/>
        <w:t>Que des personnes aînées,</w:t>
      </w:r>
      <w:r w:rsidR="00945CF5">
        <w:t xml:space="preserve"> </w:t>
      </w:r>
      <w:r>
        <w:t xml:space="preserve">des personnes </w:t>
      </w:r>
      <w:r w:rsidR="00945CF5">
        <w:t xml:space="preserve">ayant des limitations fonctionnelles et les </w:t>
      </w:r>
      <w:r>
        <w:t>organismes qui les représentent,</w:t>
      </w:r>
      <w:r w:rsidR="00945CF5">
        <w:t xml:space="preserve"> prennent part à tout processus consultatif préalable à l’espacement des collectes d’ordures ménagères. </w:t>
      </w:r>
    </w:p>
    <w:p w14:paraId="111ADFF3" w14:textId="77777777" w:rsidR="002D2EE8" w:rsidRDefault="00B03521" w:rsidP="00401F95">
      <w:pPr>
        <w:pStyle w:val="Heading3"/>
      </w:pPr>
      <w:r>
        <w:t xml:space="preserve">Écocentres </w:t>
      </w:r>
    </w:p>
    <w:p w14:paraId="4F0E39C7" w14:textId="6D96E0A0" w:rsidR="00B03521" w:rsidRDefault="00B03521" w:rsidP="00B03521">
      <w:r>
        <w:t xml:space="preserve">Afin de permettre </w:t>
      </w:r>
      <w:r w:rsidR="000E256C">
        <w:t>à tous les citoyens</w:t>
      </w:r>
      <w:r w:rsidR="001D1AE4">
        <w:t xml:space="preserve"> et citoyennes</w:t>
      </w:r>
      <w:r w:rsidR="000E256C">
        <w:t xml:space="preserve">, y compris </w:t>
      </w:r>
      <w:r w:rsidR="001C14F0">
        <w:t xml:space="preserve">aux </w:t>
      </w:r>
      <w:r>
        <w:t xml:space="preserve">personnes aînées ou ayant des limitations fonctionnelles (ex. : personne </w:t>
      </w:r>
      <w:r w:rsidR="00AF33ED">
        <w:t xml:space="preserve">à mobilité réduite </w:t>
      </w:r>
      <w:r>
        <w:t xml:space="preserve">qui conduit sa propre automobile) d’utiliser </w:t>
      </w:r>
      <w:r w:rsidR="000E256C">
        <w:t xml:space="preserve">adéquatement </w:t>
      </w:r>
      <w:r>
        <w:t xml:space="preserve">les écocentres (cf. : action 4.2.2), du personnel devra être présent durant les heures d’ouverture pour aider les usagers à trouver les espaces dédiés au type de déchets dont ils doivent se débarrasser, et pour les manipuler, le cas échéant. </w:t>
      </w:r>
    </w:p>
    <w:p w14:paraId="6FCB7296" w14:textId="77777777" w:rsidR="00B03521" w:rsidRPr="007D3813" w:rsidRDefault="00B03521" w:rsidP="00B03521">
      <w:r>
        <w:t xml:space="preserve">De plus, </w:t>
      </w:r>
      <w:r w:rsidR="00AF33ED">
        <w:t xml:space="preserve">considérant que les personnes aînées ou ayant des limitations fonctionnelles ont souvent besoin de </w:t>
      </w:r>
      <w:r w:rsidR="001148B5">
        <w:t xml:space="preserve">faire appel à un </w:t>
      </w:r>
      <w:r w:rsidR="00485244">
        <w:t>proche-</w:t>
      </w:r>
      <w:r w:rsidR="001148B5">
        <w:t xml:space="preserve">aidant ou à un voisin pour se débarrasser des déchets qui ne font pas l’objet de collectes offertes sur une base régulière, </w:t>
      </w:r>
      <w:r>
        <w:t xml:space="preserve">les heures d’ouverture </w:t>
      </w:r>
      <w:r w:rsidR="001148B5">
        <w:t xml:space="preserve">des écocentres </w:t>
      </w:r>
      <w:r>
        <w:t xml:space="preserve">devront être </w:t>
      </w:r>
      <w:r w:rsidR="001148B5">
        <w:t xml:space="preserve">étendues </w:t>
      </w:r>
      <w:r>
        <w:t xml:space="preserve">pour permettre aux personnes qui travaillent de s’y rendre en dehors des « heures de bureau » traditionnelles. </w:t>
      </w:r>
    </w:p>
    <w:p w14:paraId="6AF7E8E3" w14:textId="77777777" w:rsidR="00B03521" w:rsidRDefault="001148B5" w:rsidP="001044F0">
      <w:r>
        <w:t xml:space="preserve">Recommandations : </w:t>
      </w:r>
    </w:p>
    <w:p w14:paraId="43AE4B2B" w14:textId="77777777" w:rsidR="001148B5" w:rsidRDefault="001148B5" w:rsidP="00D21333">
      <w:pPr>
        <w:numPr>
          <w:ilvl w:val="0"/>
          <w:numId w:val="14"/>
        </w:numPr>
      </w:pPr>
      <w:r>
        <w:t xml:space="preserve">Que du personnel soit toujours présent durant les heures d’ouverture des écocentres pour aider les usagers à s’y déplacer, à </w:t>
      </w:r>
      <w:r w:rsidR="000E256C">
        <w:t xml:space="preserve">trouver les espaces dédiés au type de déchets dont ils veulent se débarrasser, et pour les manipuler, le cas échéant. </w:t>
      </w:r>
    </w:p>
    <w:p w14:paraId="10869075" w14:textId="77777777" w:rsidR="000E256C" w:rsidRDefault="000E256C" w:rsidP="00D21333">
      <w:pPr>
        <w:numPr>
          <w:ilvl w:val="0"/>
          <w:numId w:val="14"/>
        </w:numPr>
      </w:pPr>
      <w:r>
        <w:t xml:space="preserve">Que les heures d’ouverture des écocentres soient étendues pour en faciliter </w:t>
      </w:r>
      <w:r w:rsidR="00F5369B">
        <w:t xml:space="preserve">l’accès </w:t>
      </w:r>
      <w:r>
        <w:t xml:space="preserve">aux personnes qui travaillent. </w:t>
      </w:r>
    </w:p>
    <w:p w14:paraId="15609832" w14:textId="77777777" w:rsidR="00C13A9B" w:rsidRDefault="00652B2F" w:rsidP="00652B2F">
      <w:pPr>
        <w:pStyle w:val="Heading2"/>
      </w:pPr>
      <w:bookmarkStart w:id="33" w:name="_Toc30437426"/>
      <w:r>
        <w:t>Écofiscalité</w:t>
      </w:r>
      <w:bookmarkEnd w:id="33"/>
      <w:r>
        <w:t xml:space="preserve"> </w:t>
      </w:r>
    </w:p>
    <w:p w14:paraId="35BB78C7" w14:textId="33C74BB0" w:rsidR="00764D32" w:rsidRDefault="00764D32" w:rsidP="00764D32">
      <w:r>
        <w:t>Certains modèles d’écofiscalité pourraient avoir des impacts négatifs sur les personnes aînées ou ayant des limitations fonctionnelles. En effet, une mesure comme la « </w:t>
      </w:r>
      <w:r w:rsidRPr="0028652D">
        <w:t xml:space="preserve">taxe </w:t>
      </w:r>
      <w:r>
        <w:t xml:space="preserve">au </w:t>
      </w:r>
      <w:r w:rsidRPr="0028652D">
        <w:t>sac</w:t>
      </w:r>
      <w:r>
        <w:t> »,</w:t>
      </w:r>
      <w:r w:rsidRPr="0028652D">
        <w:t xml:space="preserve"> </w:t>
      </w:r>
      <w:r>
        <w:t xml:space="preserve">instaurée dans le Valais suisse en 2018, </w:t>
      </w:r>
      <w:r w:rsidRPr="0028652D">
        <w:t>v</w:t>
      </w:r>
      <w:r>
        <w:t>isant à favoriser la valorisation des déchets et à limiter le volume d’ordures ménagères par foyer en taxant les sacs de poubelles, engendrerait des coûts supplémentaires pour les personnes aînées ou ayant des limitations fonctionnelles qui utilisent diverses fournitures médicales ou d’élimination (ex. : couches, sac</w:t>
      </w:r>
      <w:r w:rsidR="001D1AE4">
        <w:t>s</w:t>
      </w:r>
      <w:r>
        <w:t xml:space="preserve"> de stomie, pansements et bandages). </w:t>
      </w:r>
    </w:p>
    <w:p w14:paraId="74153020" w14:textId="77777777" w:rsidR="00764D32" w:rsidRDefault="00764D32" w:rsidP="00764D32">
      <w:r>
        <w:t xml:space="preserve">Aussi, demander à ces personnes de s’identifier afin de bénéficier d’une exemption, représenterait un défi en termes d’acceptabilité sociale et de respect du droit à la dignité. </w:t>
      </w:r>
    </w:p>
    <w:p w14:paraId="6BE4208D" w14:textId="77777777" w:rsidR="00764D32" w:rsidRDefault="00764D32" w:rsidP="00764D32">
      <w:r>
        <w:lastRenderedPageBreak/>
        <w:t xml:space="preserve">Ainsi, toute mesure d’écofiscalité applicable aux citoyens </w:t>
      </w:r>
      <w:r w:rsidR="001D1AE4">
        <w:t xml:space="preserve">et citoyennes </w:t>
      </w:r>
      <w:r>
        <w:t xml:space="preserve">devra faire l’objet d’une étude attentive et approfondie avant d’être mise en œuvre sur le territoire montréalais. </w:t>
      </w:r>
    </w:p>
    <w:p w14:paraId="29C1B4D7" w14:textId="77777777" w:rsidR="00652B2F" w:rsidRDefault="00764D32" w:rsidP="001044F0">
      <w:r>
        <w:t>Recommandation</w:t>
      </w:r>
      <w:r w:rsidR="00EF6288">
        <w:t>s</w:t>
      </w:r>
      <w:r>
        <w:t xml:space="preserve"> : </w:t>
      </w:r>
    </w:p>
    <w:p w14:paraId="07435A13" w14:textId="77777777" w:rsidR="00764D32" w:rsidRDefault="00764D32" w:rsidP="00D21333">
      <w:pPr>
        <w:numPr>
          <w:ilvl w:val="0"/>
          <w:numId w:val="14"/>
        </w:numPr>
      </w:pPr>
      <w:r>
        <w:t xml:space="preserve">Que toute mesure d’écofiscalité fasse l’objet d’une étude attentive et approfondie avant d’être appliquée aux citoyens </w:t>
      </w:r>
      <w:r w:rsidR="001D1AE4">
        <w:t>et citoyennes de Montréal</w:t>
      </w:r>
      <w:r>
        <w:t xml:space="preserve">. </w:t>
      </w:r>
    </w:p>
    <w:p w14:paraId="3DE346B2" w14:textId="63ABC553" w:rsidR="00764D32" w:rsidRDefault="00B70756" w:rsidP="00D21333">
      <w:pPr>
        <w:numPr>
          <w:ilvl w:val="0"/>
          <w:numId w:val="14"/>
        </w:numPr>
      </w:pPr>
      <w:r>
        <w:t>Que des personnes aînées,</w:t>
      </w:r>
      <w:r w:rsidR="00764D32">
        <w:t xml:space="preserve"> </w:t>
      </w:r>
      <w:r>
        <w:t xml:space="preserve">des personnes </w:t>
      </w:r>
      <w:r w:rsidR="00764D32">
        <w:t>ayant</w:t>
      </w:r>
      <w:r>
        <w:t xml:space="preserve"> des limitations fonctionnelles</w:t>
      </w:r>
      <w:r w:rsidR="00764D32">
        <w:t xml:space="preserve"> et les organismes qui les représentent, </w:t>
      </w:r>
      <w:r w:rsidR="00371589">
        <w:t xml:space="preserve">prennent part à tout processus consultatif préalable à la mise en place de mesures d’écofiscalité. </w:t>
      </w:r>
    </w:p>
    <w:p w14:paraId="531BF28E" w14:textId="77777777" w:rsidR="00C13A9B" w:rsidRDefault="00652B2F" w:rsidP="00652B2F">
      <w:pPr>
        <w:pStyle w:val="Heading1"/>
      </w:pPr>
      <w:bookmarkStart w:id="34" w:name="_Toc30437427"/>
      <w:r>
        <w:t>Sensibilisation et formation</w:t>
      </w:r>
      <w:bookmarkEnd w:id="34"/>
      <w:r>
        <w:t xml:space="preserve"> </w:t>
      </w:r>
    </w:p>
    <w:p w14:paraId="72350DE5" w14:textId="1B292F9B" w:rsidR="00C501A2" w:rsidRDefault="00584951" w:rsidP="00584951">
      <w:r>
        <w:t xml:space="preserve">Afin de faire de Montréal une ville écoresponsable </w:t>
      </w:r>
      <w:r w:rsidR="00BC5F07">
        <w:t xml:space="preserve">et </w:t>
      </w:r>
      <w:r>
        <w:t xml:space="preserve">universellement accessible, il sera essentiel de s’assurer que tous les contrats liés à l’installation d’équipements (ex. : </w:t>
      </w:r>
      <w:r w:rsidR="008B658D">
        <w:t>îlot</w:t>
      </w:r>
      <w:r>
        <w:t xml:space="preserve">s de récupération, boîtes de dons de textiles, fontaines d’eau potable) ou </w:t>
      </w:r>
      <w:r w:rsidR="0084573B">
        <w:t>à la cueillette des</w:t>
      </w:r>
      <w:r w:rsidR="00755254">
        <w:t xml:space="preserve"> matières résiduelles</w:t>
      </w:r>
      <w:r w:rsidR="0084573B">
        <w:t xml:space="preserve">, </w:t>
      </w:r>
      <w:r>
        <w:t xml:space="preserve">contiennent des clauses visant à faire appliquer les bonnes pratiques en matière </w:t>
      </w:r>
      <w:r w:rsidR="00BC5F07">
        <w:t xml:space="preserve">d’accessibilité universelle, notamment pour le </w:t>
      </w:r>
      <w:r>
        <w:t>respect des corridors de circulation</w:t>
      </w:r>
      <w:r w:rsidR="0084573B">
        <w:t xml:space="preserve"> pour les piétons</w:t>
      </w:r>
      <w:r>
        <w:t xml:space="preserve">. En effet, à l’heure actuelle, les bacs de recyclage, les bacs </w:t>
      </w:r>
      <w:r w:rsidR="00C501A2">
        <w:t xml:space="preserve">des résidus alimentaires (compost) et </w:t>
      </w:r>
      <w:r>
        <w:t xml:space="preserve">les bacs </w:t>
      </w:r>
      <w:r w:rsidR="001D1AE4">
        <w:t>de</w:t>
      </w:r>
      <w:r w:rsidR="00C501A2">
        <w:t xml:space="preserve"> déchets domestiques </w:t>
      </w:r>
      <w:r>
        <w:t xml:space="preserve">se retrouvent régulièrement au milieu des trottoirs après avoir été vidés. </w:t>
      </w:r>
    </w:p>
    <w:p w14:paraId="78630200" w14:textId="21408B2C" w:rsidR="00584951" w:rsidRDefault="00B503D4" w:rsidP="00584951">
      <w:r>
        <w:t>Ainsi, t</w:t>
      </w:r>
      <w:r w:rsidR="00584951">
        <w:t>ous les employés municipaux chargés de l’attribution de ces contrats</w:t>
      </w:r>
      <w:r w:rsidR="00BC5F07">
        <w:t>,</w:t>
      </w:r>
      <w:r w:rsidR="00584951">
        <w:t xml:space="preserve"> et tous les employés des organisations privées de collecte de matières résiduelles</w:t>
      </w:r>
      <w:r w:rsidR="00BC5F07">
        <w:t>,</w:t>
      </w:r>
      <w:r w:rsidR="00584951">
        <w:t xml:space="preserve"> devraient participer à des activités de sensibilisation et de formation obligatoires (cf. : action 6.3.2). </w:t>
      </w:r>
    </w:p>
    <w:p w14:paraId="0950A4ED" w14:textId="034646A9" w:rsidR="00584951" w:rsidRDefault="00584951" w:rsidP="00584951">
      <w:r>
        <w:t xml:space="preserve">De plus, les organisations « délinquantes » devraient </w:t>
      </w:r>
      <w:r w:rsidR="00F2095E" w:rsidRPr="00F2095E">
        <w:t>être assujetti</w:t>
      </w:r>
      <w:r w:rsidR="00F2095E">
        <w:t>es à</w:t>
      </w:r>
      <w:r>
        <w:t xml:space="preserve"> des pénalités financières, voire </w:t>
      </w:r>
      <w:r w:rsidR="00F2095E">
        <w:t xml:space="preserve">à </w:t>
      </w:r>
      <w:r>
        <w:t>un refus de renouvellement de contrat, si les situations dénoncées ne sont pas corrigées. À cet effet, un mécanisme de plainte</w:t>
      </w:r>
      <w:r w:rsidR="00C501A2">
        <w:t>,</w:t>
      </w:r>
      <w:r>
        <w:t xml:space="preserve"> simple </w:t>
      </w:r>
      <w:r w:rsidR="00C501A2">
        <w:t xml:space="preserve">et accessible, </w:t>
      </w:r>
      <w:r w:rsidR="001D1AE4">
        <w:t>devra</w:t>
      </w:r>
      <w:r>
        <w:t xml:space="preserve"> être mis en place et largement publicisé auprès des citoyens</w:t>
      </w:r>
      <w:r w:rsidR="00C501A2">
        <w:t xml:space="preserve"> </w:t>
      </w:r>
      <w:r w:rsidR="001D1AE4">
        <w:t>et citoyennes</w:t>
      </w:r>
      <w:r>
        <w:t xml:space="preserve">. </w:t>
      </w:r>
    </w:p>
    <w:p w14:paraId="75D3D35D" w14:textId="77777777" w:rsidR="00652B2F" w:rsidRDefault="00BC5F07" w:rsidP="001044F0">
      <w:r>
        <w:t xml:space="preserve">Recommandations : </w:t>
      </w:r>
    </w:p>
    <w:p w14:paraId="5A608A9F" w14:textId="60EBACE8" w:rsidR="00BC5F07" w:rsidRDefault="00BC5F07" w:rsidP="00D21333">
      <w:pPr>
        <w:numPr>
          <w:ilvl w:val="0"/>
          <w:numId w:val="14"/>
        </w:numPr>
      </w:pPr>
      <w:r>
        <w:t xml:space="preserve">Que des activités de sensibilisation et des formations </w:t>
      </w:r>
      <w:r w:rsidR="003041B5">
        <w:t xml:space="preserve">obligatoires </w:t>
      </w:r>
      <w:r>
        <w:t xml:space="preserve">soient </w:t>
      </w:r>
      <w:r w:rsidR="00755254">
        <w:t xml:space="preserve">offertes à </w:t>
      </w:r>
      <w:r>
        <w:t xml:space="preserve">tous les employés municipaux responsables de l’attribution de contrats, ainsi qu’à tous les employés, </w:t>
      </w:r>
      <w:r w:rsidR="00755254">
        <w:t>de la Ville ou des organisations privées</w:t>
      </w:r>
      <w:r>
        <w:t xml:space="preserve">, qui </w:t>
      </w:r>
      <w:r w:rsidR="003041B5">
        <w:t xml:space="preserve">agissent sur le domaine public </w:t>
      </w:r>
      <w:r w:rsidR="00755254">
        <w:t xml:space="preserve">lors de </w:t>
      </w:r>
      <w:r w:rsidR="003041B5">
        <w:t>l’installation d’équipement</w:t>
      </w:r>
      <w:r w:rsidR="00B70756">
        <w:t>s</w:t>
      </w:r>
      <w:r w:rsidR="003041B5">
        <w:t xml:space="preserve"> ou </w:t>
      </w:r>
      <w:r w:rsidR="00755254">
        <w:t xml:space="preserve">de </w:t>
      </w:r>
      <w:r w:rsidR="003041B5">
        <w:t xml:space="preserve">la cueillette des matières résiduelles. </w:t>
      </w:r>
    </w:p>
    <w:p w14:paraId="44B2EF12" w14:textId="5714519F" w:rsidR="003041B5" w:rsidRDefault="003041B5" w:rsidP="00D21333">
      <w:pPr>
        <w:numPr>
          <w:ilvl w:val="0"/>
          <w:numId w:val="14"/>
        </w:numPr>
      </w:pPr>
      <w:r>
        <w:t xml:space="preserve">Que des </w:t>
      </w:r>
      <w:r w:rsidR="001A471F">
        <w:t xml:space="preserve">sanctions </w:t>
      </w:r>
      <w:r>
        <w:t xml:space="preserve">soient </w:t>
      </w:r>
      <w:r w:rsidR="008B6E1F">
        <w:t xml:space="preserve">prévues à l’encontre des </w:t>
      </w:r>
      <w:r>
        <w:t xml:space="preserve">entreprises qui ne respectent pas les bonnes pratiques en matière d’accessibilité universelle. </w:t>
      </w:r>
    </w:p>
    <w:p w14:paraId="1F8A624D" w14:textId="3ABAEC1C" w:rsidR="003041B5" w:rsidRDefault="003041B5" w:rsidP="00D21333">
      <w:pPr>
        <w:numPr>
          <w:ilvl w:val="0"/>
          <w:numId w:val="14"/>
        </w:numPr>
      </w:pPr>
      <w:r>
        <w:lastRenderedPageBreak/>
        <w:t xml:space="preserve">Qu’un mécanisme de plainte, simple et accessible, soit mis en place pour permettre aux citoyens </w:t>
      </w:r>
      <w:r w:rsidR="00B70756">
        <w:t xml:space="preserve">et citoyennes </w:t>
      </w:r>
      <w:r>
        <w:t xml:space="preserve">de dénoncer les situations problématiques. </w:t>
      </w:r>
    </w:p>
    <w:p w14:paraId="1AE9F8DE" w14:textId="13A59618" w:rsidR="00C13A9B" w:rsidRDefault="00652B2F" w:rsidP="00584951">
      <w:pPr>
        <w:pStyle w:val="Heading1"/>
        <w:numPr>
          <w:ilvl w:val="0"/>
          <w:numId w:val="0"/>
        </w:numPr>
      </w:pPr>
      <w:bookmarkStart w:id="35" w:name="_Toc30437428"/>
      <w:r>
        <w:t>Conclusion</w:t>
      </w:r>
      <w:bookmarkEnd w:id="35"/>
      <w:r>
        <w:t xml:space="preserve"> </w:t>
      </w:r>
    </w:p>
    <w:p w14:paraId="1CFD2EC6" w14:textId="3964330F" w:rsidR="00652B2F" w:rsidRDefault="00652B2F" w:rsidP="001044F0">
      <w:r>
        <w:t xml:space="preserve">Comme nous l’avons démontré tout au long de ce mémoire, </w:t>
      </w:r>
      <w:r w:rsidRPr="00154460">
        <w:t xml:space="preserve">le projet de </w:t>
      </w:r>
      <w:r w:rsidRPr="00154460">
        <w:rPr>
          <w:i/>
        </w:rPr>
        <w:t>Plan directeur de gestion des matières résiduelles de l’agglomération de Montréal 2020-2025</w:t>
      </w:r>
      <w:r>
        <w:t xml:space="preserve"> </w:t>
      </w:r>
      <w:r w:rsidR="00527B50">
        <w:t xml:space="preserve">aura </w:t>
      </w:r>
      <w:r>
        <w:t xml:space="preserve">des impacts significatifs sur la qualité de vie et la participation </w:t>
      </w:r>
      <w:r w:rsidR="0072030C">
        <w:t xml:space="preserve">sociale </w:t>
      </w:r>
      <w:r w:rsidR="00B70756">
        <w:t>des personnes aînées et des personnes</w:t>
      </w:r>
      <w:r>
        <w:t xml:space="preserve"> ayant des limitations fonctionnelles. Aussi, considérant que ce mémoire n’est pas exhaustif et que de nombreux </w:t>
      </w:r>
      <w:r w:rsidR="00AC494E">
        <w:t xml:space="preserve">éléments </w:t>
      </w:r>
      <w:r>
        <w:t xml:space="preserve">doivent être considérés avant </w:t>
      </w:r>
      <w:r w:rsidR="0049049D">
        <w:t xml:space="preserve">d’apporter les modifications réglementaires </w:t>
      </w:r>
      <w:r w:rsidR="0072030C">
        <w:t xml:space="preserve">ou </w:t>
      </w:r>
      <w:r w:rsidR="0049049D">
        <w:t>d’adopter les mesures</w:t>
      </w:r>
      <w:r w:rsidR="00527B50">
        <w:t xml:space="preserve"> qui y sont présentées</w:t>
      </w:r>
      <w:r w:rsidR="0049049D">
        <w:t xml:space="preserve">, </w:t>
      </w:r>
      <w:r w:rsidR="00527B50">
        <w:t xml:space="preserve">la Ville de Montréal devra </w:t>
      </w:r>
      <w:r w:rsidR="0049049D">
        <w:t>travail</w:t>
      </w:r>
      <w:r w:rsidR="00527B50">
        <w:t>ler</w:t>
      </w:r>
      <w:r w:rsidR="0049049D">
        <w:t xml:space="preserve"> </w:t>
      </w:r>
      <w:r w:rsidR="00527B50">
        <w:t xml:space="preserve">en </w:t>
      </w:r>
      <w:r w:rsidR="0049049D">
        <w:t xml:space="preserve">concertation avec les organismes de défense des droits des personnes aînées </w:t>
      </w:r>
      <w:r w:rsidR="00B70756">
        <w:t>et des personnes</w:t>
      </w:r>
      <w:r w:rsidR="0049049D">
        <w:t xml:space="preserve"> ayant des limitations fonct</w:t>
      </w:r>
      <w:r w:rsidR="00527B50">
        <w:t>ionnelles</w:t>
      </w:r>
      <w:r w:rsidR="0072030C">
        <w:t>,</w:t>
      </w:r>
      <w:r w:rsidR="00AC494E">
        <w:t xml:space="preserve"> pour s’assurer de n’oublier aucun enjeu d’importance. </w:t>
      </w:r>
    </w:p>
    <w:p w14:paraId="37F81867" w14:textId="49918C9B" w:rsidR="006665C9" w:rsidRDefault="00AC494E" w:rsidP="001044F0">
      <w:r>
        <w:t xml:space="preserve">En outre, la Ville de Montréal devra veiller à ce que toutes les mesures qui seront mises en œuvre respectent les </w:t>
      </w:r>
      <w:r w:rsidR="0072030C">
        <w:t xml:space="preserve">contraintes, les capacités et les </w:t>
      </w:r>
      <w:r>
        <w:t xml:space="preserve">droits </w:t>
      </w:r>
      <w:r w:rsidR="00B70756">
        <w:t>des personnes aînées et des personnes</w:t>
      </w:r>
      <w:r w:rsidR="0072030C">
        <w:t xml:space="preserve"> ayant des limitations fonctionnelles, et que chacune de ces mesures s’inscrive dans le respect de la dignité de ces personnes. </w:t>
      </w:r>
    </w:p>
    <w:p w14:paraId="43CD0348" w14:textId="77777777" w:rsidR="00584951" w:rsidRDefault="00584951">
      <w:pPr>
        <w:spacing w:before="0" w:after="160" w:line="259" w:lineRule="auto"/>
      </w:pPr>
      <w:r>
        <w:br w:type="page"/>
      </w:r>
    </w:p>
    <w:p w14:paraId="2B03AF29" w14:textId="77777777" w:rsidR="006665C9" w:rsidRDefault="006665C9" w:rsidP="00584951">
      <w:pPr>
        <w:pStyle w:val="Heading1"/>
        <w:numPr>
          <w:ilvl w:val="0"/>
          <w:numId w:val="0"/>
        </w:numPr>
      </w:pPr>
      <w:bookmarkStart w:id="36" w:name="_Toc30437429"/>
      <w:r>
        <w:lastRenderedPageBreak/>
        <w:t>Annexe : Liste des recommandations</w:t>
      </w:r>
      <w:bookmarkEnd w:id="36"/>
      <w:r>
        <w:t xml:space="preserve"> </w:t>
      </w:r>
    </w:p>
    <w:p w14:paraId="16A4ACFC" w14:textId="77777777" w:rsidR="00D54F99" w:rsidRDefault="00D54F99" w:rsidP="00D54F99">
      <w:pPr>
        <w:numPr>
          <w:ilvl w:val="0"/>
          <w:numId w:val="34"/>
        </w:numPr>
        <w:ind w:left="426" w:hanging="426"/>
      </w:pPr>
      <w:r>
        <w:t xml:space="preserve">Que l’information sur les jours et la fréquence de tous les services de collecte, les heures et lieux de dépôt, ainsi que sur la nature des matières récupérées, soit disponible en tout temps, sur différents supports et dans différents formats. </w:t>
      </w:r>
    </w:p>
    <w:p w14:paraId="468D00F6" w14:textId="77777777" w:rsidR="00D54F99" w:rsidRDefault="00D54F99" w:rsidP="00D54F99">
      <w:pPr>
        <w:numPr>
          <w:ilvl w:val="0"/>
          <w:numId w:val="34"/>
        </w:numPr>
        <w:ind w:left="426" w:hanging="426"/>
        <w:rPr>
          <w:rFonts w:eastAsia="Calibri" w:cs="Arial"/>
          <w:szCs w:val="24"/>
        </w:rPr>
      </w:pPr>
      <w:r>
        <w:rPr>
          <w:rFonts w:eastAsia="Calibri" w:cs="Arial"/>
          <w:szCs w:val="24"/>
        </w:rPr>
        <w:t xml:space="preserve">Que toute l’information soit formulée dans un langage simple, compréhensible par tous, y compris par les personnes allophones ou ayant de faibles compétences en littératie. </w:t>
      </w:r>
    </w:p>
    <w:p w14:paraId="2A6AA6CC" w14:textId="77777777" w:rsidR="00D54F99" w:rsidRPr="00E91AC7" w:rsidRDefault="00D54F99" w:rsidP="00D54F99">
      <w:pPr>
        <w:numPr>
          <w:ilvl w:val="0"/>
          <w:numId w:val="34"/>
        </w:numPr>
        <w:ind w:left="426" w:hanging="426"/>
        <w:rPr>
          <w:rFonts w:eastAsia="Calibri" w:cs="Arial"/>
          <w:szCs w:val="24"/>
        </w:rPr>
      </w:pPr>
      <w:r>
        <w:rPr>
          <w:rFonts w:eastAsia="Calibri" w:cs="Arial"/>
          <w:szCs w:val="24"/>
        </w:rPr>
        <w:t xml:space="preserve">Que les campagnes de promotion ou de sensibilisation soient disponibles sur différents supports (ex. : sites Web, médias sociaux, </w:t>
      </w:r>
      <w:r>
        <w:t xml:space="preserve">journaux locaux et régionaux, radio et télévision). </w:t>
      </w:r>
    </w:p>
    <w:p w14:paraId="588DBA3F" w14:textId="77777777" w:rsidR="00D54F99" w:rsidRPr="00B843E3" w:rsidRDefault="00D54F99" w:rsidP="00D54F99">
      <w:pPr>
        <w:numPr>
          <w:ilvl w:val="0"/>
          <w:numId w:val="34"/>
        </w:numPr>
        <w:ind w:left="426" w:hanging="426"/>
        <w:rPr>
          <w:rFonts w:eastAsia="Calibri" w:cs="Arial"/>
          <w:szCs w:val="24"/>
        </w:rPr>
      </w:pPr>
      <w:r>
        <w:t xml:space="preserve">Que l’information soit offerte dans différents formats (ex. : format numérique, audio, LSQ, gros caractères, braille). </w:t>
      </w:r>
    </w:p>
    <w:p w14:paraId="502EF06E" w14:textId="77777777" w:rsidR="00D54F99" w:rsidRPr="00DC54CA" w:rsidRDefault="00D54F99" w:rsidP="00D54F99">
      <w:pPr>
        <w:numPr>
          <w:ilvl w:val="0"/>
          <w:numId w:val="34"/>
        </w:numPr>
        <w:ind w:left="426" w:hanging="426"/>
        <w:rPr>
          <w:rFonts w:eastAsia="Calibri" w:cs="Arial"/>
          <w:szCs w:val="24"/>
        </w:rPr>
      </w:pPr>
      <w:r>
        <w:t xml:space="preserve">Que des personnes ayant des limitations fonctionnelles et les organismes communautaires qui les représentent soient consultés afin de déterminer les supports et les formats pertinents selon le type d’information à diffuser. </w:t>
      </w:r>
    </w:p>
    <w:p w14:paraId="33CA9B3B" w14:textId="77777777" w:rsidR="00D54F99" w:rsidRPr="00DC54CA" w:rsidRDefault="00D54F99" w:rsidP="00D54F99">
      <w:pPr>
        <w:numPr>
          <w:ilvl w:val="0"/>
          <w:numId w:val="34"/>
        </w:numPr>
        <w:ind w:left="426" w:hanging="426"/>
        <w:rPr>
          <w:rFonts w:eastAsia="Calibri" w:cs="Arial"/>
          <w:szCs w:val="24"/>
        </w:rPr>
      </w:pPr>
      <w:r>
        <w:t xml:space="preserve">Que des personnes ayant des limitations fonctionnelles vérifient </w:t>
      </w:r>
      <w:r w:rsidRPr="002332FE">
        <w:t>systématiquement</w:t>
      </w:r>
      <w:r>
        <w:t xml:space="preserve"> l’accessibilité de l’information avant qu’elle ne soit diffusée. </w:t>
      </w:r>
    </w:p>
    <w:p w14:paraId="5659BC9A" w14:textId="77777777" w:rsidR="00D54F99" w:rsidRDefault="00D54F99" w:rsidP="00D54F99">
      <w:pPr>
        <w:numPr>
          <w:ilvl w:val="0"/>
          <w:numId w:val="34"/>
        </w:numPr>
        <w:ind w:left="426" w:hanging="426"/>
      </w:pPr>
      <w:r>
        <w:t xml:space="preserve">Que la signalisation et les normes graphiques favorisant une utilisation adéquate des îlots de récupération tienne compte des besoins de tous les citoyens et citoyennes, y compris de ceux des personnes aînées ou ayant des limitations fonctionnelles. </w:t>
      </w:r>
    </w:p>
    <w:p w14:paraId="4BA54998" w14:textId="77777777" w:rsidR="00D54F99" w:rsidRDefault="00D54F99" w:rsidP="00D54F99">
      <w:pPr>
        <w:numPr>
          <w:ilvl w:val="0"/>
          <w:numId w:val="34"/>
        </w:numPr>
        <w:ind w:left="426" w:hanging="426"/>
      </w:pPr>
      <w:r>
        <w:t xml:space="preserve">Qu’une signalisation et des normes graphiques adéquates soient également élaborées pour permettre à tous les citoyens et citoyennes, y compris aux personnes aînées ou ayant des limitations fonctionnelles, de repérer les boîtes </w:t>
      </w:r>
      <w:r w:rsidRPr="003D010F">
        <w:t>de dons de textiles, les fontaines</w:t>
      </w:r>
      <w:r>
        <w:t xml:space="preserve"> d’eau potable, etc., présentes sur le domaine public. </w:t>
      </w:r>
    </w:p>
    <w:p w14:paraId="1F052A68" w14:textId="77777777" w:rsidR="00D54F99" w:rsidRDefault="00D54F99" w:rsidP="00D54F99">
      <w:pPr>
        <w:numPr>
          <w:ilvl w:val="0"/>
          <w:numId w:val="34"/>
        </w:numPr>
        <w:ind w:left="426" w:hanging="426"/>
      </w:pPr>
      <w:r>
        <w:t xml:space="preserve">Que des organismes de personnes ayant des limitations fonctionnelles, qui possèdent une expertise dans ce domaine, prennent part à toutes les étapes du processus d’élaboration et de mise en place de la signalisation et des normes graphiques. </w:t>
      </w:r>
    </w:p>
    <w:p w14:paraId="55E7DD11" w14:textId="77777777" w:rsidR="00F01DCA" w:rsidRDefault="00D54F99" w:rsidP="00F01DCA">
      <w:pPr>
        <w:numPr>
          <w:ilvl w:val="0"/>
          <w:numId w:val="34"/>
        </w:numPr>
        <w:ind w:left="426" w:hanging="426"/>
      </w:pPr>
      <w:r>
        <w:t xml:space="preserve">Que des personnes aînées </w:t>
      </w:r>
      <w:r w:rsidRPr="00A90EAC">
        <w:t>et des personnes</w:t>
      </w:r>
      <w:r>
        <w:t xml:space="preserve"> ayant des limitations fonctionnelles prennent part au processus de validation de la signalisation et des normes graphiques ainsi développées. </w:t>
      </w:r>
    </w:p>
    <w:p w14:paraId="5381369C" w14:textId="77777777" w:rsidR="00A422FC" w:rsidRDefault="00F01DCA" w:rsidP="00A422FC">
      <w:pPr>
        <w:numPr>
          <w:ilvl w:val="0"/>
          <w:numId w:val="34"/>
        </w:numPr>
        <w:ind w:left="426" w:hanging="426"/>
      </w:pPr>
      <w:r w:rsidRPr="00F01DCA">
        <w:t xml:space="preserve">Que, parallèlement au processus d’élaboration de la signalisation et des normes graphiques, des travaux soient menés pour mettre en place des solutions </w:t>
      </w:r>
      <w:r w:rsidRPr="00F01DCA">
        <w:lastRenderedPageBreak/>
        <w:t>alternatives qui permettront à tous les citoyens et citoyennes, y compris aux personnes ayant une déficience visuelle, de repérer tous les équipements collectifs (ex. : îlots de récupération, boîtes de dons de textiles, fontaines d’eau potable), en toute autonomie.</w:t>
      </w:r>
    </w:p>
    <w:p w14:paraId="1EC4149A" w14:textId="77777777" w:rsidR="00EF69B5" w:rsidRDefault="00A422FC" w:rsidP="00EF69B5">
      <w:pPr>
        <w:numPr>
          <w:ilvl w:val="0"/>
          <w:numId w:val="34"/>
        </w:numPr>
        <w:ind w:left="426" w:hanging="426"/>
      </w:pPr>
      <w:r w:rsidRPr="00A422FC">
        <w:t xml:space="preserve">Que des organismes de personnes ayant des limitations fonctionnelles, qui possèdent une expertise dans ce domaine, prennent part à toutes les étapes du processus d’élaboration des critères de conception, d’installation et d’évaluation des équipements collectifs comme les îlots de récupération, les boîtes de dons de textiles ou les fontaines d’eau potable. </w:t>
      </w:r>
    </w:p>
    <w:p w14:paraId="6DC0813D" w14:textId="77777777" w:rsidR="00EF69B5" w:rsidRDefault="00EF69B5" w:rsidP="00EF69B5">
      <w:pPr>
        <w:numPr>
          <w:ilvl w:val="0"/>
          <w:numId w:val="34"/>
        </w:numPr>
        <w:ind w:left="426" w:hanging="426"/>
      </w:pPr>
      <w:r>
        <w:t xml:space="preserve">Que les critères de conception des îlots de récupération, des boîtes de dons de textiles, des fontaines d’eau potable et de tout autre équipement collectif, leur permettent d’être aisément utilisables par tous, y compris par les personnes aînées ou ayant des limitations fonctionnelles. </w:t>
      </w:r>
    </w:p>
    <w:p w14:paraId="4F424B6F" w14:textId="3A1FB71C" w:rsidR="00EF69B5" w:rsidRDefault="00EF69B5" w:rsidP="00EF69B5">
      <w:pPr>
        <w:numPr>
          <w:ilvl w:val="0"/>
          <w:numId w:val="34"/>
        </w:numPr>
        <w:ind w:left="426" w:hanging="426"/>
      </w:pPr>
      <w:r>
        <w:t>Que tous les équipements collectifs (ex. : îlots de récupération, boîtes de dons de textiles, fontaines d’eau potable) soient pris en compte dans l’</w:t>
      </w:r>
      <w:r w:rsidRPr="00B251CB">
        <w:rPr>
          <w:i/>
        </w:rPr>
        <w:t>Agenda montréalais 2030 pour la qualité et l’exemplarité en design et en architecture</w:t>
      </w:r>
      <w:r>
        <w:t xml:space="preserve">. </w:t>
      </w:r>
    </w:p>
    <w:p w14:paraId="2C094C00" w14:textId="14B7586F" w:rsidR="00B251CB" w:rsidRDefault="00B251CB" w:rsidP="00B251CB">
      <w:pPr>
        <w:numPr>
          <w:ilvl w:val="0"/>
          <w:numId w:val="34"/>
        </w:numPr>
        <w:ind w:left="426" w:hanging="426"/>
      </w:pPr>
      <w:r>
        <w:t xml:space="preserve">Qu’une révision du partage des espaces alloués aux véhicules et aux piétons soit amorcée dans le but d’optimiser l’utilisation du domaine public par tous les usagers. </w:t>
      </w:r>
    </w:p>
    <w:p w14:paraId="7BB57071" w14:textId="77777777" w:rsidR="00B251CB" w:rsidRDefault="00B251CB" w:rsidP="00B251CB">
      <w:pPr>
        <w:numPr>
          <w:ilvl w:val="0"/>
          <w:numId w:val="34"/>
        </w:numPr>
        <w:ind w:left="426" w:hanging="426"/>
      </w:pPr>
      <w:r>
        <w:t xml:space="preserve">Que les critères d’installation des îlots de récupération et autres équipements collectifs, ainsi que la réglementation visant à encadrer les boîtes de dons de textiles, prévoient la préservation de corridors de circulation sans obstacle pour les piétons. </w:t>
      </w:r>
    </w:p>
    <w:p w14:paraId="7AA79416" w14:textId="77777777" w:rsidR="00B251CB" w:rsidRDefault="00B251CB" w:rsidP="00B251CB">
      <w:pPr>
        <w:numPr>
          <w:ilvl w:val="0"/>
          <w:numId w:val="34"/>
        </w:numPr>
        <w:ind w:left="426" w:hanging="426"/>
      </w:pPr>
      <w:r>
        <w:t xml:space="preserve">Que tous les équipements collectifs (ex. : îlots de récupération, boîtes de dons de textiles, fontaines d’eau potable) soient en nombre suffisant pour minimiser les distances à parcourir pour les atteindre. </w:t>
      </w:r>
    </w:p>
    <w:p w14:paraId="38E3DD3C" w14:textId="77777777" w:rsidR="00923A7D" w:rsidRDefault="00B251CB" w:rsidP="00923A7D">
      <w:pPr>
        <w:numPr>
          <w:ilvl w:val="0"/>
          <w:numId w:val="34"/>
        </w:numPr>
        <w:ind w:left="426" w:hanging="426"/>
      </w:pPr>
      <w:r>
        <w:t xml:space="preserve">Que les équipements collectifs soient installés en tenant compte des exigences des opérations de déneigement et de déglaçage, afin que tous les citoyens et citoyennes, y compris les personnes aînées ou ayant des limitations fonctionnelles, puissent y accéder et les utiliser en tout temps. </w:t>
      </w:r>
    </w:p>
    <w:p w14:paraId="7B0104F3" w14:textId="7B2E4396" w:rsidR="00923A7D" w:rsidRPr="00923A7D" w:rsidRDefault="00923A7D" w:rsidP="00923A7D">
      <w:pPr>
        <w:numPr>
          <w:ilvl w:val="0"/>
          <w:numId w:val="34"/>
        </w:numPr>
        <w:ind w:left="426" w:hanging="426"/>
      </w:pPr>
      <w:r w:rsidRPr="00923A7D">
        <w:t xml:space="preserve">Que les équipements collectifs dans les bâtiments municipaux soient installés dans des zones accessibles à tous, y compris aux personnes aînées ou ayant des limitations fonctionnelles, et qu’ils soient utilisables par tous, en tout temps, en toute autonomie et en toute sécurité. </w:t>
      </w:r>
    </w:p>
    <w:p w14:paraId="78D1B8BB" w14:textId="77777777" w:rsidR="00923A7D" w:rsidRDefault="00923A7D" w:rsidP="00923A7D">
      <w:pPr>
        <w:numPr>
          <w:ilvl w:val="0"/>
          <w:numId w:val="34"/>
        </w:numPr>
        <w:ind w:left="426" w:hanging="426"/>
      </w:pPr>
      <w:r>
        <w:t xml:space="preserve">Que les démarches, exigences et documents visant à encadrer la collecte des matières organiques et recyclables lors d’événements occupant temporairement le domaine public soient faciles à comprendre, à effectuer, à satisfaire ou à compléter, </w:t>
      </w:r>
      <w:r>
        <w:lastRenderedPageBreak/>
        <w:t xml:space="preserve">afin de permettre aux groupes ainsi qu’aux citoyennes et citoyens de poursuivre l’organisation de tels événements. </w:t>
      </w:r>
    </w:p>
    <w:p w14:paraId="20A8E867" w14:textId="77777777" w:rsidR="00923A7D" w:rsidRDefault="00923A7D" w:rsidP="00923A7D">
      <w:pPr>
        <w:numPr>
          <w:ilvl w:val="0"/>
          <w:numId w:val="34"/>
        </w:numPr>
        <w:ind w:left="426" w:hanging="426"/>
      </w:pPr>
      <w:r>
        <w:t xml:space="preserve">Que toutes les activités de promotion et les événements spéciaux soient inclusifs. </w:t>
      </w:r>
    </w:p>
    <w:p w14:paraId="0AE884AC" w14:textId="77777777" w:rsidR="00923A7D" w:rsidRDefault="00923A7D" w:rsidP="00923A7D">
      <w:pPr>
        <w:numPr>
          <w:ilvl w:val="0"/>
          <w:numId w:val="34"/>
        </w:numPr>
        <w:ind w:left="426" w:hanging="426"/>
      </w:pPr>
      <w:r>
        <w:t xml:space="preserve">Que tous les projets pilotes incluent des personnes aînées et des personnes ayant des limitations fonctionnelles. </w:t>
      </w:r>
    </w:p>
    <w:p w14:paraId="3A91D691" w14:textId="77777777" w:rsidR="00864DA1" w:rsidRDefault="00864DA1" w:rsidP="00864DA1">
      <w:pPr>
        <w:numPr>
          <w:ilvl w:val="0"/>
          <w:numId w:val="34"/>
        </w:numPr>
        <w:ind w:left="426" w:hanging="426"/>
      </w:pPr>
      <w:r>
        <w:t xml:space="preserve">Que l’interdiction des pailles de plastique ne soit adoptée que lorsque des produits alternatifs, soit des pailles jetables écologiques, seront disponibles dans les rayons des commerces de détail à prix abordable, ainsi que dans les lieux de restauration. </w:t>
      </w:r>
    </w:p>
    <w:p w14:paraId="07E150DF" w14:textId="77777777" w:rsidR="00864DA1" w:rsidRDefault="00864DA1" w:rsidP="00864DA1">
      <w:pPr>
        <w:numPr>
          <w:ilvl w:val="0"/>
          <w:numId w:val="34"/>
        </w:numPr>
        <w:ind w:left="426" w:hanging="426"/>
      </w:pPr>
      <w:r>
        <w:t xml:space="preserve">Que l’interdiction des sacs à déjections canines en plastique ne soit adoptée que lorsque des solutions alternatives, soit des sacs écologiques, à prix abordable et offrant les conditions d’hygiène nécessaires, seront disponibles dans tous les points de distribution de ce type de produits. </w:t>
      </w:r>
    </w:p>
    <w:p w14:paraId="69E82678" w14:textId="77777777" w:rsidR="00864DA1" w:rsidRDefault="00864DA1" w:rsidP="00864DA1">
      <w:pPr>
        <w:numPr>
          <w:ilvl w:val="0"/>
          <w:numId w:val="34"/>
        </w:numPr>
        <w:ind w:left="426" w:hanging="426"/>
      </w:pPr>
      <w:r>
        <w:t xml:space="preserve">Que l’interdiction des bouteilles d’eau à usage unique dans les édifices municipaux et lors des événements publics n’entre en vigueur que lorsque suffisamment de fontaines d’eau potable universellement accessibles seront installées, et qu’elles seront faciles à trouver, à atteindre et à utiliser. </w:t>
      </w:r>
    </w:p>
    <w:p w14:paraId="77BBE9A9" w14:textId="77777777" w:rsidR="00864DA1" w:rsidRDefault="00864DA1" w:rsidP="00864DA1">
      <w:pPr>
        <w:numPr>
          <w:ilvl w:val="0"/>
          <w:numId w:val="34"/>
        </w:numPr>
        <w:ind w:left="426" w:hanging="426"/>
      </w:pPr>
      <w:r>
        <w:t xml:space="preserve">Qu’advenant l’entrée en vigueur des recommandations de la Commission permanente sur l’eau, l’environnement, le développement durable et les grands parcs, le processus d’adhésion à la liste de distribution des circulaires à domicile soit simple et inclusif, et que plusieurs modalités soient disponibles pour y souscrire. </w:t>
      </w:r>
    </w:p>
    <w:p w14:paraId="7EFFEEA1" w14:textId="77777777" w:rsidR="00864DA1" w:rsidRDefault="00864DA1" w:rsidP="00864DA1">
      <w:pPr>
        <w:numPr>
          <w:ilvl w:val="0"/>
          <w:numId w:val="34"/>
        </w:numPr>
        <w:ind w:left="426" w:hanging="426"/>
      </w:pPr>
      <w:r>
        <w:t xml:space="preserve">Que la stratégie d’information et de communication visant à aviser la population montréalaise des changements réglementaires quant à la distribution des circulaires et des journaux locaux prenne en compte les recommandations formulées dans la section « Communication et accès à l’information » du présent mémoire. </w:t>
      </w:r>
    </w:p>
    <w:p w14:paraId="445D92B1" w14:textId="77777777" w:rsidR="00864DA1" w:rsidRDefault="00864DA1" w:rsidP="00864DA1">
      <w:pPr>
        <w:numPr>
          <w:ilvl w:val="0"/>
          <w:numId w:val="34"/>
        </w:numPr>
        <w:ind w:left="426" w:hanging="426"/>
      </w:pPr>
      <w:r>
        <w:t xml:space="preserve">Que les journaux locaux soient faciles à obtenir, en terme d’accessibilité et de proximité, par tous les citoyens et citoyennes de la Ville, y compris par les personnes aînées ou ayant des limitations fonctionnelles. </w:t>
      </w:r>
    </w:p>
    <w:p w14:paraId="5ED3FA93" w14:textId="3224AF15" w:rsidR="00864DA1" w:rsidRPr="00864DA1" w:rsidRDefault="00864DA1" w:rsidP="00864DA1">
      <w:pPr>
        <w:numPr>
          <w:ilvl w:val="0"/>
          <w:numId w:val="34"/>
        </w:numPr>
        <w:ind w:left="426" w:hanging="426"/>
      </w:pPr>
      <w:r w:rsidRPr="00864DA1">
        <w:t xml:space="preserve">Pour s’assurer d’une récupération optimale des déchets, que des services de collecte en bordure de rue soient offerts, sur une base régulière ou ponctuelle, et ce, pour tous les types de déchets. </w:t>
      </w:r>
    </w:p>
    <w:p w14:paraId="53989CC9" w14:textId="77777777" w:rsidR="00864DA1" w:rsidRDefault="00864DA1" w:rsidP="00864DA1">
      <w:pPr>
        <w:numPr>
          <w:ilvl w:val="0"/>
          <w:numId w:val="34"/>
        </w:numPr>
        <w:ind w:left="426" w:hanging="426"/>
      </w:pPr>
      <w:r>
        <w:t xml:space="preserve">Que les heures autorisées pour sortir les bacs de recyclage, les bacs des résidus alimentaires et les bacs des déchets domestiques soient étendues et harmonisées dans tous les arrondissements. </w:t>
      </w:r>
    </w:p>
    <w:p w14:paraId="20C3AA68" w14:textId="77777777" w:rsidR="00864DA1" w:rsidRDefault="00864DA1" w:rsidP="00864DA1">
      <w:pPr>
        <w:numPr>
          <w:ilvl w:val="0"/>
          <w:numId w:val="34"/>
        </w:numPr>
        <w:ind w:left="426" w:hanging="426"/>
      </w:pPr>
      <w:r>
        <w:lastRenderedPageBreak/>
        <w:t>Que les bacs puissent être sortis la veille de la collecte, et non uniquement quelques heures avant le début de celle-ci, pour que les personnes incapables de le faire seules puissent demander à un aidant de s’en occuper, et pour que celles ayant des horaires de travail incompatibles avec le créneau de collecte ne soient pas non plus pénalisées.</w:t>
      </w:r>
    </w:p>
    <w:p w14:paraId="09D7D549" w14:textId="77777777" w:rsidR="00864DA1" w:rsidRDefault="00864DA1" w:rsidP="00864DA1">
      <w:pPr>
        <w:numPr>
          <w:ilvl w:val="0"/>
          <w:numId w:val="34"/>
        </w:numPr>
        <w:ind w:left="426" w:hanging="426"/>
      </w:pPr>
      <w:r>
        <w:t xml:space="preserve">Que les impacts d’un espacement des collectes des ordures ménagères sur les personnes aînées et sur les personnes ayant des limitations fonctionnelles fasse l’objet d’une étude attentive et approfondie avant d’être adopté. </w:t>
      </w:r>
    </w:p>
    <w:p w14:paraId="381E0B24" w14:textId="77777777" w:rsidR="00864DA1" w:rsidRDefault="00864DA1" w:rsidP="00864DA1">
      <w:pPr>
        <w:numPr>
          <w:ilvl w:val="0"/>
          <w:numId w:val="34"/>
        </w:numPr>
        <w:ind w:left="426" w:hanging="426"/>
      </w:pPr>
      <w:r>
        <w:t xml:space="preserve">Que des personnes aînées, des personnes ayant des limitations fonctionnelles et les organismes qui les représentent, prennent part à tout processus consultatif préalable à l’espacement des collectes d’ordures ménagères. </w:t>
      </w:r>
    </w:p>
    <w:p w14:paraId="67370976" w14:textId="77777777" w:rsidR="00864DA1" w:rsidRDefault="00864DA1" w:rsidP="00864DA1">
      <w:pPr>
        <w:numPr>
          <w:ilvl w:val="0"/>
          <w:numId w:val="34"/>
        </w:numPr>
        <w:ind w:left="426" w:hanging="426"/>
      </w:pPr>
      <w:r>
        <w:t xml:space="preserve">Que du personnel soit toujours présent durant les heures d’ouverture des écocentres pour aider les usagers à s’y déplacer, à trouver les espaces dédiés au type de déchets dont ils veulent se débarrasser, et pour les manipuler, le cas échéant. </w:t>
      </w:r>
    </w:p>
    <w:p w14:paraId="4572EADA" w14:textId="77777777" w:rsidR="00864DA1" w:rsidRDefault="00864DA1" w:rsidP="00864DA1">
      <w:pPr>
        <w:numPr>
          <w:ilvl w:val="0"/>
          <w:numId w:val="34"/>
        </w:numPr>
        <w:ind w:left="426" w:hanging="426"/>
      </w:pPr>
      <w:r>
        <w:t xml:space="preserve">Que les heures d’ouverture des écocentres soient étendues pour en faciliter l’accès aux personnes qui travaillent. </w:t>
      </w:r>
    </w:p>
    <w:p w14:paraId="2C4923D9" w14:textId="77777777" w:rsidR="00864DA1" w:rsidRDefault="00864DA1" w:rsidP="00864DA1">
      <w:pPr>
        <w:numPr>
          <w:ilvl w:val="0"/>
          <w:numId w:val="34"/>
        </w:numPr>
        <w:ind w:left="426" w:hanging="426"/>
      </w:pPr>
      <w:r>
        <w:t xml:space="preserve">Que toute mesure d’écofiscalité fasse l’objet d’une étude attentive et approfondie avant d’être appliquée aux citoyens et citoyennes de Montréal. </w:t>
      </w:r>
    </w:p>
    <w:p w14:paraId="0CF1123A" w14:textId="77777777" w:rsidR="00864DA1" w:rsidRDefault="00864DA1" w:rsidP="00864DA1">
      <w:pPr>
        <w:numPr>
          <w:ilvl w:val="0"/>
          <w:numId w:val="34"/>
        </w:numPr>
        <w:ind w:left="426" w:hanging="426"/>
      </w:pPr>
      <w:r>
        <w:t xml:space="preserve">Que des personnes aînées, des personnes ayant des limitations fonctionnelles et les organismes qui les représentent, prennent part à tout processus consultatif préalable à la mise en place de mesures d’écofiscalité. </w:t>
      </w:r>
    </w:p>
    <w:p w14:paraId="1FAF9E2F" w14:textId="77777777" w:rsidR="00F2095E" w:rsidRDefault="00F2095E" w:rsidP="00F2095E">
      <w:pPr>
        <w:numPr>
          <w:ilvl w:val="0"/>
          <w:numId w:val="34"/>
        </w:numPr>
        <w:ind w:left="426" w:hanging="426"/>
      </w:pPr>
      <w:r>
        <w:t xml:space="preserve">Que des activités de sensibilisation et des formations obligatoires soient offertes à tous les employés municipaux responsables de l’attribution de contrats, ainsi qu’à tous les employés, de la Ville ou des organisations privées, qui agissent sur le domaine public lors de l’installation d’équipements ou de la cueillette des matières résiduelles. </w:t>
      </w:r>
    </w:p>
    <w:p w14:paraId="2F544479" w14:textId="77777777" w:rsidR="00F2095E" w:rsidRDefault="00F2095E" w:rsidP="00F2095E">
      <w:pPr>
        <w:numPr>
          <w:ilvl w:val="0"/>
          <w:numId w:val="34"/>
        </w:numPr>
        <w:ind w:left="426" w:hanging="426"/>
      </w:pPr>
      <w:r>
        <w:t xml:space="preserve">Que des sanctions soient prévues à l’encontre des entreprises qui ne respectent pas les bonnes pratiques en matière d’accessibilité universelle. </w:t>
      </w:r>
    </w:p>
    <w:p w14:paraId="4ED38FCD" w14:textId="77777777" w:rsidR="00F2095E" w:rsidRDefault="00F2095E" w:rsidP="00F2095E">
      <w:pPr>
        <w:numPr>
          <w:ilvl w:val="0"/>
          <w:numId w:val="34"/>
        </w:numPr>
        <w:ind w:left="426" w:hanging="426"/>
      </w:pPr>
      <w:r>
        <w:t xml:space="preserve">Qu’un mécanisme de plainte, simple et accessible, soit mis en place pour permettre aux citoyens et citoyennes de dénoncer les situations problématiques. </w:t>
      </w:r>
      <w:bookmarkStart w:id="37" w:name="_GoBack"/>
      <w:bookmarkEnd w:id="37"/>
    </w:p>
    <w:sectPr w:rsidR="00F2095E" w:rsidSect="002B750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9A4BE" w14:textId="77777777" w:rsidR="00BC6EF0" w:rsidRDefault="00BC6EF0" w:rsidP="00507D1D">
      <w:r>
        <w:separator/>
      </w:r>
    </w:p>
  </w:endnote>
  <w:endnote w:type="continuationSeparator" w:id="0">
    <w:p w14:paraId="3A839C13" w14:textId="77777777" w:rsidR="00BC6EF0" w:rsidRDefault="00BC6EF0" w:rsidP="0050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73F9" w14:textId="77777777" w:rsidR="00424591" w:rsidRDefault="00424591" w:rsidP="00507D1D">
    <w:pPr>
      <w:pStyle w:val="Footer"/>
    </w:pPr>
    <w:r>
      <w:t xml:space="preserve">. </w:t>
    </w:r>
  </w:p>
  <w:p w14:paraId="4BC61D81" w14:textId="77777777" w:rsidR="00424591" w:rsidRDefault="00424591" w:rsidP="00507D1D">
    <w:pPr>
      <w:pStyle w:val="Footer"/>
    </w:pPr>
    <w:r>
      <w:t xml:space="preserve"> </w:t>
    </w:r>
  </w:p>
  <w:p w14:paraId="0A66B60F" w14:textId="77777777" w:rsidR="00424591" w:rsidRDefault="00424591" w:rsidP="00507D1D">
    <w:pPr>
      <w:pStyle w:val="Footer"/>
    </w:pPr>
    <w:r>
      <w:t xml:space="preserve"> </w:t>
    </w:r>
  </w:p>
  <w:p w14:paraId="216308E9" w14:textId="77777777" w:rsidR="00424591" w:rsidRDefault="00424591" w:rsidP="00507D1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08DA7" w14:textId="0E0ACA6A" w:rsidR="00424591" w:rsidRDefault="00424591" w:rsidP="00507D1D">
    <w:pPr>
      <w:pStyle w:val="Footer"/>
      <w:rPr>
        <w:noProof/>
      </w:rPr>
    </w:pPr>
    <w:r>
      <w:t xml:space="preserve">Mémoire - Consultation publique « Montréal, objectif zéro déchet » – 20/01/2020 </w:t>
    </w:r>
    <w:r>
      <w:ptab w:relativeTo="margin" w:alignment="right" w:leader="none"/>
    </w:r>
    <w:sdt>
      <w:sdtPr>
        <w:id w:val="-671931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5259C">
          <w:rPr>
            <w:noProof/>
          </w:rPr>
          <w:t>28</w:t>
        </w:r>
        <w:r>
          <w:rPr>
            <w:noProof/>
          </w:rPr>
          <w:fldChar w:fldCharType="end"/>
        </w:r>
        <w:r>
          <w:rPr>
            <w:noProof/>
          </w:rPr>
          <w:t xml:space="preserve"> /</w:t>
        </w:r>
        <w:r w:rsidRPr="00B8546E">
          <w:t xml:space="preserve"> </w:t>
        </w:r>
        <w:r>
          <w:rPr>
            <w:noProof/>
          </w:rPr>
          <w:fldChar w:fldCharType="begin"/>
        </w:r>
        <w:r>
          <w:rPr>
            <w:noProof/>
          </w:rPr>
          <w:instrText xml:space="preserve"> NUMPAGES   \* MERGEFORMAT </w:instrText>
        </w:r>
        <w:r>
          <w:rPr>
            <w:noProof/>
          </w:rPr>
          <w:fldChar w:fldCharType="separate"/>
        </w:r>
        <w:r w:rsidR="00D5259C">
          <w:rPr>
            <w:noProof/>
          </w:rPr>
          <w:t>29</w:t>
        </w:r>
        <w:r>
          <w:rPr>
            <w:noProof/>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BCB8" w14:textId="77777777" w:rsidR="00424591" w:rsidRDefault="004245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2587D" w14:textId="77777777" w:rsidR="00BC6EF0" w:rsidRDefault="00BC6EF0" w:rsidP="00507D1D">
      <w:r>
        <w:separator/>
      </w:r>
    </w:p>
  </w:footnote>
  <w:footnote w:type="continuationSeparator" w:id="0">
    <w:p w14:paraId="435E5D86" w14:textId="77777777" w:rsidR="00BC6EF0" w:rsidRDefault="00BC6EF0" w:rsidP="00507D1D">
      <w:r>
        <w:continuationSeparator/>
      </w:r>
    </w:p>
  </w:footnote>
  <w:footnote w:id="1">
    <w:p w14:paraId="386811D5" w14:textId="7AC2D940" w:rsidR="00424591" w:rsidRPr="005F6FDD" w:rsidRDefault="00424591" w:rsidP="005F6FDD">
      <w:pPr>
        <w:pStyle w:val="FootnoteText"/>
      </w:pPr>
      <w:r>
        <w:rPr>
          <w:rStyle w:val="FootnoteReference"/>
        </w:rPr>
        <w:footnoteRef/>
      </w:r>
      <w:r>
        <w:t xml:space="preserve"> </w:t>
      </w:r>
      <w:r w:rsidRPr="006909FB">
        <w:t>Commission sur l'eau, l'environnement, le développement durable et les grands parcs</w:t>
      </w:r>
      <w:r>
        <w:t xml:space="preserve"> – Ville de Montréal (2019). </w:t>
      </w:r>
      <w:r w:rsidRPr="004B7A7D">
        <w:rPr>
          <w:i/>
        </w:rPr>
        <w:t>Montréal, objectif zéro déchet : consultation publique sur le projet de Plan directeur de gestion des matières résiduelles 2020-2025</w:t>
      </w:r>
      <w:r>
        <w:t xml:space="preserve">. </w:t>
      </w:r>
      <w:r w:rsidRPr="005F6FDD">
        <w:t xml:space="preserve">[En ligne] </w:t>
      </w:r>
      <w:hyperlink r:id="rId1" w:history="1">
        <w:r w:rsidRPr="00081106">
          <w:rPr>
            <w:rStyle w:val="Hyperlink"/>
          </w:rPr>
          <w:t>http://ville.montreal.qc.ca/portal/page?_pageid=6877,143362217&amp;_dad=portal&amp;_schema=PORTAL</w:t>
        </w:r>
      </w:hyperlink>
      <w:r>
        <w:t xml:space="preserve"> (Consult</w:t>
      </w:r>
      <w:r w:rsidRPr="003A25EA">
        <w:t>é le 14 décembre 2019)</w:t>
      </w:r>
      <w:r>
        <w:t>.</w:t>
      </w:r>
    </w:p>
  </w:footnote>
  <w:footnote w:id="2">
    <w:p w14:paraId="4E658935" w14:textId="7F9EA6EA" w:rsidR="00424591" w:rsidRPr="00DB14D1" w:rsidRDefault="00424591" w:rsidP="005F6FDD">
      <w:pPr>
        <w:pStyle w:val="FootnoteText"/>
      </w:pPr>
      <w:r>
        <w:rPr>
          <w:rStyle w:val="FootnoteReference"/>
        </w:rPr>
        <w:footnoteRef/>
      </w:r>
      <w:r>
        <w:t xml:space="preserve"> Gouvernement du Canada (2018). </w:t>
      </w:r>
      <w:r w:rsidRPr="00DD413F">
        <w:rPr>
          <w:i/>
        </w:rPr>
        <w:t>Les changements climatiques et la santé : Population à risque</w:t>
      </w:r>
      <w:r>
        <w:t xml:space="preserve">. [En ligne] </w:t>
      </w:r>
      <w:hyperlink r:id="rId2" w:history="1">
        <w:r w:rsidRPr="00DB14D1">
          <w:rPr>
            <w:rStyle w:val="Hyperlink"/>
          </w:rPr>
          <w:t>https://www.canada.ca/fr/sante-canada/services/changements-climatiques-sante/population-risque.html</w:t>
        </w:r>
      </w:hyperlink>
      <w:r w:rsidRPr="00DB14D1">
        <w:t xml:space="preserve"> (Consulté le 14 décembre 2019).</w:t>
      </w:r>
    </w:p>
  </w:footnote>
  <w:footnote w:id="3">
    <w:p w14:paraId="16CF334B" w14:textId="1CC00809" w:rsidR="00424591" w:rsidRPr="002B17FB" w:rsidRDefault="00424591" w:rsidP="002B17FB">
      <w:pPr>
        <w:pStyle w:val="FootnoteText"/>
      </w:pPr>
      <w:r w:rsidRPr="00DB14D1">
        <w:rPr>
          <w:rStyle w:val="FootnoteReference"/>
        </w:rPr>
        <w:footnoteRef/>
      </w:r>
      <w:r w:rsidRPr="00DB14D1">
        <w:t xml:space="preserve"> Ville de Montréal (2018). </w:t>
      </w:r>
      <w:r w:rsidRPr="00DB14D1">
        <w:rPr>
          <w:i/>
        </w:rPr>
        <w:t>Projet pilote de l'intégration de l'ADS+ : La Ville de Montréal revoit son processus décisionnel pour prévenir les discriminations systémiques</w:t>
      </w:r>
      <w:r w:rsidRPr="00DB14D1">
        <w:t xml:space="preserve">. [En ligne] </w:t>
      </w:r>
      <w:hyperlink r:id="rId3" w:history="1">
        <w:r w:rsidRPr="00DB14D1">
          <w:rPr>
            <w:rStyle w:val="Hyperlink"/>
          </w:rPr>
          <w:t>http://ville.montreal.qc.ca/portal/page?_pageid=5798,42657625&amp;_dad=portal&amp;_schema=PORTAL&amp;id=30963</w:t>
        </w:r>
      </w:hyperlink>
      <w:r>
        <w:t xml:space="preserve"> (</w:t>
      </w:r>
      <w:r w:rsidRPr="002B17FB">
        <w:t>Consulté le 20 janvier 2020</w:t>
      </w:r>
      <w:r>
        <w:t>).</w:t>
      </w:r>
    </w:p>
  </w:footnote>
  <w:footnote w:id="4">
    <w:p w14:paraId="355B6362" w14:textId="77777777" w:rsidR="00424591" w:rsidRPr="002B17FB" w:rsidRDefault="00424591" w:rsidP="00424591">
      <w:pPr>
        <w:pStyle w:val="FootnoteText"/>
        <w:contextualSpacing/>
        <w:rPr>
          <w:lang w:val="fr-CA"/>
        </w:rPr>
      </w:pPr>
      <w:r w:rsidRPr="002B17FB">
        <w:rPr>
          <w:rStyle w:val="FootnoteReference"/>
        </w:rPr>
        <w:footnoteRef/>
      </w:r>
      <w:r w:rsidRPr="002B17FB">
        <w:t xml:space="preserve"> Ville de Montréal (2011). </w:t>
      </w:r>
      <w:r w:rsidRPr="002B17FB">
        <w:rPr>
          <w:i/>
        </w:rPr>
        <w:t>Politique municipale d’accessibilité universelle</w:t>
      </w:r>
      <w:r w:rsidRPr="002B17FB">
        <w:t xml:space="preserve">. [En ligne] </w:t>
      </w:r>
      <w:hyperlink r:id="rId4" w:history="1">
        <w:r w:rsidRPr="002B17FB">
          <w:rPr>
            <w:rStyle w:val="Hyperlink"/>
          </w:rPr>
          <w:t>http://ville.montreal.qc.ca/portal/page?_pageid=8258,90439740&amp;_dad=portal&amp;_schema=PORTAL</w:t>
        </w:r>
      </w:hyperlink>
      <w:r w:rsidRPr="002B17FB">
        <w:rPr>
          <w:rStyle w:val="Hyperlink"/>
        </w:rPr>
        <w:t xml:space="preserve"> </w:t>
      </w:r>
      <w:r w:rsidRPr="002B17FB">
        <w:rPr>
          <w:rStyle w:val="Hyperlink"/>
          <w:color w:val="auto"/>
          <w:u w:val="none"/>
        </w:rPr>
        <w:t xml:space="preserve">(Consulté le </w:t>
      </w:r>
      <w:r w:rsidRPr="00DB14D1">
        <w:t>14 décembre 2019).</w:t>
      </w:r>
      <w:r w:rsidRPr="002B17FB">
        <w:t xml:space="preserve"> </w:t>
      </w:r>
    </w:p>
  </w:footnote>
  <w:footnote w:id="5">
    <w:p w14:paraId="7AFDDAEB" w14:textId="6EC7EE74" w:rsidR="00424591" w:rsidRPr="002B17FB" w:rsidRDefault="00424591" w:rsidP="00424591">
      <w:pPr>
        <w:spacing w:before="0" w:after="0"/>
        <w:contextualSpacing/>
        <w:rPr>
          <w:sz w:val="20"/>
          <w:szCs w:val="20"/>
          <w:lang w:val="fr-CA"/>
        </w:rPr>
      </w:pPr>
      <w:r w:rsidRPr="002B17FB">
        <w:rPr>
          <w:rStyle w:val="FootnoteReference"/>
          <w:sz w:val="20"/>
          <w:szCs w:val="20"/>
        </w:rPr>
        <w:footnoteRef/>
      </w:r>
      <w:r w:rsidRPr="002B17FB">
        <w:rPr>
          <w:sz w:val="20"/>
          <w:szCs w:val="20"/>
        </w:rPr>
        <w:t xml:space="preserve"> </w:t>
      </w:r>
      <w:r w:rsidRPr="00441609">
        <w:rPr>
          <w:sz w:val="20"/>
          <w:szCs w:val="20"/>
        </w:rPr>
        <w:t xml:space="preserve">Direction de l'évaluation et du soutien à la mise en œuvre de la loi </w:t>
      </w:r>
      <w:r>
        <w:rPr>
          <w:sz w:val="20"/>
          <w:szCs w:val="20"/>
        </w:rPr>
        <w:t xml:space="preserve">- </w:t>
      </w:r>
      <w:r w:rsidRPr="002B17FB">
        <w:rPr>
          <w:sz w:val="20"/>
          <w:szCs w:val="20"/>
        </w:rPr>
        <w:t xml:space="preserve">Office des personnes handicapées du Québec (2018). </w:t>
      </w:r>
      <w:r w:rsidRPr="002B17FB">
        <w:rPr>
          <w:i/>
          <w:sz w:val="20"/>
          <w:szCs w:val="20"/>
        </w:rPr>
        <w:t>Estimations de population avec incapacité en 2012 : le Québec et ses régions administratives</w:t>
      </w:r>
      <w:r>
        <w:rPr>
          <w:sz w:val="20"/>
          <w:szCs w:val="20"/>
        </w:rPr>
        <w:t>,</w:t>
      </w:r>
      <w:r w:rsidRPr="002B17FB">
        <w:rPr>
          <w:sz w:val="20"/>
          <w:szCs w:val="20"/>
        </w:rPr>
        <w:t xml:space="preserve"> 80 p.</w:t>
      </w:r>
      <w:r>
        <w:rPr>
          <w:sz w:val="20"/>
          <w:szCs w:val="20"/>
        </w:rPr>
        <w:t>, p.9.</w:t>
      </w:r>
      <w:r w:rsidRPr="002B17FB">
        <w:rPr>
          <w:sz w:val="20"/>
          <w:szCs w:val="20"/>
        </w:rPr>
        <w:t xml:space="preserve"> [En ligne] </w:t>
      </w:r>
      <w:hyperlink r:id="rId5" w:history="1">
        <w:r w:rsidRPr="002B17FB">
          <w:rPr>
            <w:rStyle w:val="Hyperlink"/>
            <w:sz w:val="20"/>
            <w:szCs w:val="20"/>
          </w:rPr>
          <w:t>https://www.ophq.gouv.qc.ca/fileadmin/documents/Estimations_de_population_2012/DOC_Estim_pop_2012_PROV.pdf</w:t>
        </w:r>
      </w:hyperlink>
      <w:r w:rsidRPr="002B17FB">
        <w:rPr>
          <w:sz w:val="20"/>
          <w:szCs w:val="20"/>
        </w:rPr>
        <w:t xml:space="preserve"> (</w:t>
      </w:r>
      <w:r>
        <w:rPr>
          <w:sz w:val="20"/>
          <w:szCs w:val="20"/>
        </w:rPr>
        <w:t>Récupér</w:t>
      </w:r>
      <w:r w:rsidRPr="002B17FB">
        <w:rPr>
          <w:sz w:val="20"/>
          <w:szCs w:val="20"/>
        </w:rPr>
        <w:t xml:space="preserve">é </w:t>
      </w:r>
      <w:r w:rsidRPr="00DB14D1">
        <w:rPr>
          <w:sz w:val="20"/>
          <w:szCs w:val="20"/>
        </w:rPr>
        <w:t>le 14 décembre 2019).</w:t>
      </w:r>
      <w:r w:rsidRPr="002B17FB">
        <w:rPr>
          <w:sz w:val="20"/>
          <w:szCs w:val="20"/>
        </w:rPr>
        <w:t xml:space="preserve"> </w:t>
      </w:r>
    </w:p>
  </w:footnote>
  <w:footnote w:id="6">
    <w:p w14:paraId="3CD52D79" w14:textId="2D7A2918" w:rsidR="00424591" w:rsidRPr="002B17FB" w:rsidRDefault="00424591" w:rsidP="00424591">
      <w:pPr>
        <w:pStyle w:val="FootnoteText"/>
        <w:contextualSpacing/>
      </w:pPr>
      <w:r w:rsidRPr="002B17FB">
        <w:rPr>
          <w:rStyle w:val="FootnoteReference"/>
        </w:rPr>
        <w:footnoteRef/>
      </w:r>
      <w:r w:rsidRPr="002B17FB">
        <w:t xml:space="preserve"> Direction régionale de santé publique </w:t>
      </w:r>
      <w:r>
        <w:t xml:space="preserve">- </w:t>
      </w:r>
      <w:r w:rsidRPr="00441609">
        <w:t xml:space="preserve">CIUSSS du Centre-Sud-de-l’île-de-Montréal </w:t>
      </w:r>
      <w:r w:rsidRPr="002B17FB">
        <w:t xml:space="preserve">(2017). </w:t>
      </w:r>
      <w:r w:rsidRPr="002B17FB">
        <w:rPr>
          <w:i/>
        </w:rPr>
        <w:t>Portrait des aînés de l’île de Montréal</w:t>
      </w:r>
      <w:r w:rsidRPr="002B17FB">
        <w:t>, 24 p.</w:t>
      </w:r>
      <w:r>
        <w:t>, pp.5, 14.</w:t>
      </w:r>
      <w:r w:rsidRPr="002B17FB">
        <w:t xml:space="preserve"> [En ligne] </w:t>
      </w:r>
      <w:hyperlink r:id="rId6" w:history="1">
        <w:r w:rsidRPr="002B17FB">
          <w:rPr>
            <w:rStyle w:val="Hyperlink"/>
          </w:rPr>
          <w:t>https://santemontreal.qc.ca/fileadmin/user_upload/Uploads/tx_asssmpublications/pdf/publications/Portrait_aines_ile_de_Montreal_MAJ_janv2019.pdf</w:t>
        </w:r>
      </w:hyperlink>
      <w:r w:rsidRPr="002B17FB">
        <w:rPr>
          <w:rStyle w:val="Hyperlink"/>
        </w:rPr>
        <w:t xml:space="preserve"> </w:t>
      </w:r>
      <w:r w:rsidRPr="002B17FB">
        <w:rPr>
          <w:rStyle w:val="Hyperlink"/>
          <w:color w:val="auto"/>
          <w:u w:val="none"/>
        </w:rPr>
        <w:t>(</w:t>
      </w:r>
      <w:r>
        <w:rPr>
          <w:rStyle w:val="Hyperlink"/>
          <w:color w:val="auto"/>
          <w:u w:val="none"/>
        </w:rPr>
        <w:t>Récupér</w:t>
      </w:r>
      <w:r w:rsidRPr="002B17FB">
        <w:rPr>
          <w:rStyle w:val="Hyperlink"/>
          <w:color w:val="auto"/>
          <w:u w:val="none"/>
        </w:rPr>
        <w:t xml:space="preserve">é </w:t>
      </w:r>
      <w:r w:rsidRPr="00DB14D1">
        <w:t>le 14 décembre 2019).</w:t>
      </w:r>
    </w:p>
  </w:footnote>
  <w:footnote w:id="7">
    <w:p w14:paraId="78C5E2E6" w14:textId="365BA6C4" w:rsidR="00424591" w:rsidRPr="00DE7F71" w:rsidRDefault="00424591" w:rsidP="00DE31DD">
      <w:pPr>
        <w:pStyle w:val="FootnoteText"/>
        <w:rPr>
          <w:lang w:val="fr-CA"/>
        </w:rPr>
      </w:pPr>
      <w:r>
        <w:rPr>
          <w:rStyle w:val="FootnoteReference"/>
        </w:rPr>
        <w:footnoteRef/>
      </w:r>
      <w:r>
        <w:t xml:space="preserve"> Statistique Canada (2015). </w:t>
      </w:r>
      <w:r w:rsidRPr="00064524">
        <w:rPr>
          <w:i/>
        </w:rPr>
        <w:t>L'incapacité au Canada : premiers résultats de l'Enquête canadienne sur l'incapacité</w:t>
      </w:r>
      <w:r>
        <w:t xml:space="preserve">. [En ligne] </w:t>
      </w:r>
      <w:hyperlink r:id="rId7" w:history="1">
        <w:r w:rsidRPr="00081106">
          <w:rPr>
            <w:rStyle w:val="Hyperlink"/>
          </w:rPr>
          <w:t>https://www150.statcan.gc.ca/n1/pub/89-654-x/89-654-x2014001-fra.htm</w:t>
        </w:r>
      </w:hyperlink>
      <w:r>
        <w:t xml:space="preserve"> (Consulté </w:t>
      </w:r>
      <w:r w:rsidRPr="005C6238">
        <w:t>le 14 décembre 2019</w:t>
      </w:r>
      <w:r>
        <w:t xml:space="preserve">). </w:t>
      </w:r>
    </w:p>
  </w:footnote>
  <w:footnote w:id="8">
    <w:p w14:paraId="4156A2A7" w14:textId="6018C233" w:rsidR="00424591" w:rsidRPr="00AC3F4F" w:rsidRDefault="00424591" w:rsidP="00DE31DD">
      <w:pPr>
        <w:pStyle w:val="FootnoteText"/>
        <w:rPr>
          <w:lang w:val="fr-CA"/>
        </w:rPr>
      </w:pPr>
      <w:r>
        <w:rPr>
          <w:rStyle w:val="FootnoteReference"/>
        </w:rPr>
        <w:footnoteRef/>
      </w:r>
      <w:r>
        <w:t xml:space="preserve"> Olivier, Charles-Étienne - </w:t>
      </w:r>
      <w:r w:rsidRPr="00441609">
        <w:t xml:space="preserve">Office des personnes handicapées du Québec </w:t>
      </w:r>
      <w:r>
        <w:t xml:space="preserve">(2017). </w:t>
      </w:r>
      <w:r w:rsidRPr="00B01BA7">
        <w:rPr>
          <w:i/>
        </w:rPr>
        <w:t xml:space="preserve">Les personnes avec incapacité au Québec </w:t>
      </w:r>
      <w:r w:rsidRPr="00B01BA7">
        <w:rPr>
          <w:rFonts w:cs="Arial"/>
          <w:i/>
        </w:rPr>
        <w:t>–</w:t>
      </w:r>
      <w:r w:rsidRPr="00B01BA7">
        <w:rPr>
          <w:i/>
        </w:rPr>
        <w:t xml:space="preserve"> Volume 2 : Caractéristiques sociodémographiques et économiques</w:t>
      </w:r>
      <w:r w:rsidRPr="001A2A5C">
        <w:rPr>
          <w:i/>
        </w:rPr>
        <w:t>, Drummondville, Direction de l</w:t>
      </w:r>
      <w:r>
        <w:rPr>
          <w:i/>
        </w:rPr>
        <w:t>'</w:t>
      </w:r>
      <w:r w:rsidRPr="001A2A5C">
        <w:rPr>
          <w:i/>
        </w:rPr>
        <w:t>évaluation et du soutien à la mis</w:t>
      </w:r>
      <w:r>
        <w:rPr>
          <w:i/>
        </w:rPr>
        <w:t>e en œuvre de la Loi,</w:t>
      </w:r>
      <w:r w:rsidRPr="001A2A5C">
        <w:rPr>
          <w:i/>
        </w:rPr>
        <w:t xml:space="preserve"> </w:t>
      </w:r>
      <w:r w:rsidRPr="002B17FB">
        <w:t>23 p.</w:t>
      </w:r>
      <w:r>
        <w:t>,</w:t>
      </w:r>
      <w:r w:rsidRPr="005C6238">
        <w:t xml:space="preserve"> p.12</w:t>
      </w:r>
      <w:r>
        <w:t>.</w:t>
      </w:r>
      <w:r w:rsidRPr="002B17FB">
        <w:t xml:space="preserve"> [En ligne]</w:t>
      </w:r>
      <w:r>
        <w:rPr>
          <w:i/>
        </w:rPr>
        <w:t xml:space="preserve"> </w:t>
      </w:r>
      <w:hyperlink r:id="rId8" w:history="1">
        <w:r w:rsidRPr="002B17FB">
          <w:rPr>
            <w:rStyle w:val="Hyperlink"/>
          </w:rPr>
          <w:t>https://www.ophq.gouv.qc.ca/fileadmin/centre_documentaire/Enquetes/Internes/Portrait_incapacite_Qc_ECI2012_V02.pdf</w:t>
        </w:r>
      </w:hyperlink>
      <w:r>
        <w:rPr>
          <w:i/>
        </w:rPr>
        <w:t xml:space="preserve"> </w:t>
      </w:r>
      <w:r w:rsidRPr="002B17FB">
        <w:t>(</w:t>
      </w:r>
      <w:r>
        <w:t>Récupér</w:t>
      </w:r>
      <w:r w:rsidRPr="002B17FB">
        <w:t xml:space="preserve">é </w:t>
      </w:r>
      <w:r w:rsidRPr="005C6238">
        <w:t>le 14 décembre 2019).</w:t>
      </w:r>
    </w:p>
  </w:footnote>
  <w:footnote w:id="9">
    <w:p w14:paraId="476B1B91" w14:textId="1A5D5CBC" w:rsidR="00424591" w:rsidRPr="00E23A8F" w:rsidRDefault="00424591" w:rsidP="00B24FE4">
      <w:pPr>
        <w:pStyle w:val="FootnoteText"/>
        <w:rPr>
          <w:lang w:val="fr-CA"/>
        </w:rPr>
      </w:pPr>
      <w:r>
        <w:rPr>
          <w:rStyle w:val="FootnoteReference"/>
        </w:rPr>
        <w:footnoteRef/>
      </w:r>
      <w:r>
        <w:t xml:space="preserve"> Olivier, Charles-Étienne </w:t>
      </w:r>
      <w:r w:rsidRPr="00424591">
        <w:t xml:space="preserve">- Office des personnes handicapées du Québec </w:t>
      </w:r>
      <w:r>
        <w:t xml:space="preserve">(2017). </w:t>
      </w:r>
      <w:proofErr w:type="spellStart"/>
      <w:r>
        <w:t>Ib</w:t>
      </w:r>
      <w:proofErr w:type="spellEnd"/>
      <w:r>
        <w:t>. Note 8, p.4.</w:t>
      </w:r>
    </w:p>
  </w:footnote>
  <w:footnote w:id="10">
    <w:p w14:paraId="0D04C17E" w14:textId="3E422F32" w:rsidR="00424591" w:rsidRPr="00EC7946" w:rsidRDefault="00424591" w:rsidP="00DE31DD">
      <w:pPr>
        <w:pStyle w:val="FootnoteText"/>
        <w:rPr>
          <w:lang w:val="fr-CA"/>
        </w:rPr>
      </w:pPr>
      <w:r>
        <w:rPr>
          <w:rStyle w:val="FootnoteReference"/>
        </w:rPr>
        <w:footnoteRef/>
      </w:r>
      <w:r>
        <w:t xml:space="preserve"> Deslauriers, Mélanie - </w:t>
      </w:r>
      <w:r w:rsidRPr="00441609">
        <w:t>Direction de l'évaluation et du soutie</w:t>
      </w:r>
      <w:r>
        <w:t xml:space="preserve">n à la mise en œuvre de la Loi - </w:t>
      </w:r>
      <w:r w:rsidRPr="00441609">
        <w:t xml:space="preserve">Office des personnes handicapées du Québec </w:t>
      </w:r>
      <w:r>
        <w:t xml:space="preserve">(2017). </w:t>
      </w:r>
      <w:r w:rsidRPr="00B01BA7">
        <w:rPr>
          <w:i/>
        </w:rPr>
        <w:t>Les personnes avec incapacité au Québec – Volume 5</w:t>
      </w:r>
      <w:r>
        <w:rPr>
          <w:i/>
        </w:rPr>
        <w:t> </w:t>
      </w:r>
      <w:r w:rsidRPr="00B01BA7">
        <w:rPr>
          <w:i/>
        </w:rPr>
        <w:t>: Besoin d'aide pour les activités de la vie quotidienne</w:t>
      </w:r>
      <w:r>
        <w:t xml:space="preserve">, 38 p., pp.12, 20. [En ligne] </w:t>
      </w:r>
      <w:hyperlink r:id="rId9" w:history="1">
        <w:r w:rsidRPr="009B3EE6">
          <w:rPr>
            <w:rStyle w:val="Hyperlink"/>
          </w:rPr>
          <w:t>https://www.ophq.gouv.qc.ca/fileadmin/centre_documentaire/Enquetes/Internes/Portrait_incapacite_Qc_ECI2012_V05.pdf</w:t>
        </w:r>
      </w:hyperlink>
      <w:r>
        <w:t xml:space="preserve"> (Récupéré </w:t>
      </w:r>
      <w:r w:rsidRPr="005C6238">
        <w:t>le 14 décembre 2019).</w:t>
      </w:r>
      <w:r>
        <w:t xml:space="preserve"> </w:t>
      </w:r>
    </w:p>
  </w:footnote>
  <w:footnote w:id="11">
    <w:p w14:paraId="44CAD01D" w14:textId="22CB5D86" w:rsidR="00424591" w:rsidRPr="000218DF" w:rsidRDefault="00424591" w:rsidP="009F76F1">
      <w:pPr>
        <w:pStyle w:val="FootnoteText"/>
        <w:rPr>
          <w:lang w:val="fr-CA"/>
        </w:rPr>
      </w:pPr>
      <w:r>
        <w:rPr>
          <w:rStyle w:val="FootnoteReference"/>
        </w:rPr>
        <w:footnoteRef/>
      </w:r>
      <w:r>
        <w:t xml:space="preserve"> Olivier, Charles-Étienne </w:t>
      </w:r>
      <w:r w:rsidRPr="00424591">
        <w:t xml:space="preserve">- Office des personnes handicapées du Québec </w:t>
      </w:r>
      <w:r>
        <w:t xml:space="preserve">(2017). </w:t>
      </w:r>
      <w:proofErr w:type="spellStart"/>
      <w:r>
        <w:t>Ib</w:t>
      </w:r>
      <w:proofErr w:type="spellEnd"/>
      <w:r>
        <w:t>. Note 8, p.3.</w:t>
      </w:r>
    </w:p>
  </w:footnote>
  <w:footnote w:id="12">
    <w:p w14:paraId="6A323345" w14:textId="77777777" w:rsidR="00424591" w:rsidRPr="0000728E" w:rsidRDefault="00424591" w:rsidP="0047684B">
      <w:pPr>
        <w:pStyle w:val="FootnoteText"/>
        <w:rPr>
          <w:lang w:val="fr-CA"/>
        </w:rPr>
      </w:pPr>
      <w:r>
        <w:rPr>
          <w:rStyle w:val="FootnoteReference"/>
        </w:rPr>
        <w:footnoteRef/>
      </w:r>
      <w:r>
        <w:t xml:space="preserve"> </w:t>
      </w:r>
      <w:r w:rsidRPr="0000728E">
        <w:t xml:space="preserve">Direction de la santé publique de Montréal et </w:t>
      </w:r>
      <w:r>
        <w:t xml:space="preserve">Table de concertation des aînés de l’île de Montréal (à paraître). </w:t>
      </w:r>
      <w:r w:rsidRPr="00AB73F9">
        <w:rPr>
          <w:i/>
        </w:rPr>
        <w:t>Fiche statistique – Les personnes aînées et le logement</w:t>
      </w:r>
      <w:r w:rsidRPr="0000728E">
        <w:t>.</w:t>
      </w:r>
    </w:p>
  </w:footnote>
  <w:footnote w:id="13">
    <w:p w14:paraId="3B2BD715" w14:textId="0A916B7C" w:rsidR="00424591" w:rsidRPr="00010DCC" w:rsidRDefault="00424591" w:rsidP="00D138EE">
      <w:pPr>
        <w:pStyle w:val="FootnoteText"/>
        <w:rPr>
          <w:lang w:val="fr-CA"/>
        </w:rPr>
      </w:pPr>
      <w:r>
        <w:rPr>
          <w:rStyle w:val="FootnoteReference"/>
        </w:rPr>
        <w:footnoteRef/>
      </w:r>
      <w:r>
        <w:t xml:space="preserve"> CEFRIO (2018). </w:t>
      </w:r>
      <w:r w:rsidRPr="00AC065E">
        <w:rPr>
          <w:i/>
        </w:rPr>
        <w:t>Comment les adultes québécois ont-ils utilisé les technologies liées au numérique en 2018 ? - Netendances 2018 - Portrait de l'utilisation du numérique dans les régions du Québec – Région 06 : Montréal</w:t>
      </w:r>
      <w:r>
        <w:t xml:space="preserve">, 2p., p.1. [En ligne] </w:t>
      </w:r>
      <w:hyperlink r:id="rId10" w:history="1">
        <w:r w:rsidRPr="00472A1C">
          <w:rPr>
            <w:rStyle w:val="Hyperlink"/>
          </w:rPr>
          <w:t>https://cefrio.qc.ca/media/2171/netendances-2018-06-portrait-montréal_vf.pdf</w:t>
        </w:r>
      </w:hyperlink>
      <w:r>
        <w:t xml:space="preserve"> (Récupéré </w:t>
      </w:r>
      <w:r w:rsidRPr="003D010F">
        <w:t>le 10 janvier 2020</w:t>
      </w:r>
      <w:r>
        <w:t xml:space="preserve">). </w:t>
      </w:r>
    </w:p>
  </w:footnote>
  <w:footnote w:id="14">
    <w:p w14:paraId="1BE7057E" w14:textId="2B387AB2" w:rsidR="00424591" w:rsidRDefault="00424591" w:rsidP="00D138EE">
      <w:pPr>
        <w:pStyle w:val="FootnoteText"/>
      </w:pPr>
      <w:r>
        <w:rPr>
          <w:rStyle w:val="FootnoteReference"/>
        </w:rPr>
        <w:footnoteRef/>
      </w:r>
      <w:r>
        <w:t xml:space="preserve"> CEFRIO (2018). </w:t>
      </w:r>
      <w:r w:rsidRPr="00AC065E">
        <w:rPr>
          <w:i/>
        </w:rPr>
        <w:t>Comment les adultes québécois ont-ils utilisé les technologies liées au numérique en 2018</w:t>
      </w:r>
      <w:r>
        <w:rPr>
          <w:i/>
        </w:rPr>
        <w:t> </w:t>
      </w:r>
      <w:r w:rsidRPr="00AC065E">
        <w:rPr>
          <w:i/>
        </w:rPr>
        <w:t xml:space="preserve">? - Netendances 2018 </w:t>
      </w:r>
      <w:r>
        <w:rPr>
          <w:i/>
        </w:rPr>
        <w:t>– Vieillir à l’ère du numérique</w:t>
      </w:r>
      <w:r>
        <w:t xml:space="preserve">, 19p., p.6. [En ligne] </w:t>
      </w:r>
      <w:hyperlink r:id="rId11" w:history="1">
        <w:r w:rsidRPr="00472A1C">
          <w:rPr>
            <w:rStyle w:val="Hyperlink"/>
          </w:rPr>
          <w:t>https://cefrio.qc.ca/media/1898/netendances-2018_veillir_avec_le_numerique.pdf</w:t>
        </w:r>
      </w:hyperlink>
      <w:r>
        <w:t xml:space="preserve"> (</w:t>
      </w:r>
      <w:r w:rsidRPr="003D010F">
        <w:t xml:space="preserve">Récupéré </w:t>
      </w:r>
      <w:r>
        <w:t>le 10 janvier 2020).</w:t>
      </w:r>
    </w:p>
  </w:footnote>
  <w:footnote w:id="15">
    <w:p w14:paraId="08CA637B" w14:textId="62A7A395" w:rsidR="00424591" w:rsidRPr="002B0BFB" w:rsidRDefault="00424591" w:rsidP="00D138EE">
      <w:pPr>
        <w:pStyle w:val="FootnoteText"/>
        <w:rPr>
          <w:lang w:val="en-CA"/>
        </w:rPr>
      </w:pPr>
      <w:r>
        <w:rPr>
          <w:rStyle w:val="FootnoteReference"/>
        </w:rPr>
        <w:footnoteRef/>
      </w:r>
      <w:r w:rsidRPr="002B0BFB">
        <w:rPr>
          <w:lang w:val="en-CA"/>
        </w:rPr>
        <w:t xml:space="preserve"> CEFRIO (2018). Ib. Note 13, p.1.</w:t>
      </w:r>
    </w:p>
  </w:footnote>
  <w:footnote w:id="16">
    <w:p w14:paraId="57571BB5" w14:textId="75AC64E2" w:rsidR="00424591" w:rsidRPr="00060726" w:rsidRDefault="00424591" w:rsidP="00D138EE">
      <w:pPr>
        <w:pStyle w:val="FootnoteText"/>
        <w:rPr>
          <w:lang w:val="fr-CA"/>
        </w:rPr>
      </w:pPr>
      <w:r>
        <w:rPr>
          <w:rStyle w:val="FootnoteReference"/>
        </w:rPr>
        <w:footnoteRef/>
      </w:r>
      <w:r w:rsidRPr="002B0BFB">
        <w:rPr>
          <w:lang w:val="en-CA"/>
        </w:rPr>
        <w:t xml:space="preserve"> CEFRIO (2018). </w:t>
      </w:r>
      <w:proofErr w:type="spellStart"/>
      <w:r>
        <w:t>Ib</w:t>
      </w:r>
      <w:proofErr w:type="spellEnd"/>
      <w:r>
        <w:t>. Note 14, p.6.</w:t>
      </w:r>
    </w:p>
  </w:footnote>
  <w:footnote w:id="17">
    <w:p w14:paraId="43CEC72B" w14:textId="296220E5" w:rsidR="00424591" w:rsidRPr="00A862B3" w:rsidRDefault="00424591" w:rsidP="00D138EE">
      <w:pPr>
        <w:pStyle w:val="FootnoteText"/>
        <w:rPr>
          <w:lang w:val="fr-CA"/>
        </w:rPr>
      </w:pPr>
      <w:r>
        <w:rPr>
          <w:rStyle w:val="FootnoteReference"/>
        </w:rPr>
        <w:footnoteRef/>
      </w:r>
      <w:r>
        <w:t xml:space="preserve"> CEFRIO (2018). </w:t>
      </w:r>
      <w:proofErr w:type="spellStart"/>
      <w:r>
        <w:t>Ib</w:t>
      </w:r>
      <w:proofErr w:type="spellEnd"/>
      <w:r>
        <w:t>. Note 14, p.2.</w:t>
      </w:r>
    </w:p>
  </w:footnote>
  <w:footnote w:id="18">
    <w:p w14:paraId="6EBBA358" w14:textId="161BED4B" w:rsidR="00424591" w:rsidRPr="00A862B3" w:rsidRDefault="00424591" w:rsidP="00D138EE">
      <w:pPr>
        <w:pStyle w:val="FootnoteText"/>
        <w:rPr>
          <w:lang w:val="fr-CA"/>
        </w:rPr>
      </w:pPr>
      <w:r>
        <w:rPr>
          <w:rStyle w:val="FootnoteReference"/>
        </w:rPr>
        <w:footnoteRef/>
      </w:r>
      <w:r>
        <w:t xml:space="preserve"> CEFRIO (2018). </w:t>
      </w:r>
      <w:proofErr w:type="spellStart"/>
      <w:r>
        <w:t>Ib</w:t>
      </w:r>
      <w:proofErr w:type="spellEnd"/>
      <w:r>
        <w:t>. Note 14, p.9.</w:t>
      </w:r>
    </w:p>
  </w:footnote>
  <w:footnote w:id="19">
    <w:p w14:paraId="2BE1E884" w14:textId="77777777" w:rsidR="00424591" w:rsidRPr="00460B22" w:rsidRDefault="00424591">
      <w:pPr>
        <w:pStyle w:val="FootnoteText"/>
        <w:rPr>
          <w:lang w:val="fr-CA"/>
        </w:rPr>
      </w:pPr>
      <w:r>
        <w:rPr>
          <w:rStyle w:val="FootnoteReference"/>
        </w:rPr>
        <w:footnoteRef/>
      </w:r>
      <w:r>
        <w:t xml:space="preserve"> </w:t>
      </w:r>
      <w:r w:rsidRPr="00460B22">
        <w:t>La littératie se définit comme étant l'aptitude à comprendre et à utiliser l'information imprimée et écrite.</w:t>
      </w:r>
    </w:p>
  </w:footnote>
  <w:footnote w:id="20">
    <w:p w14:paraId="4707EB74" w14:textId="77777777" w:rsidR="00424591" w:rsidRPr="00F00582" w:rsidRDefault="00424591" w:rsidP="009F76F1">
      <w:pPr>
        <w:pStyle w:val="FootnoteText"/>
        <w:rPr>
          <w:lang w:val="fr-CA"/>
        </w:rPr>
      </w:pPr>
      <w:r>
        <w:rPr>
          <w:rStyle w:val="FootnoteReference"/>
        </w:rPr>
        <w:footnoteRef/>
      </w:r>
      <w:r>
        <w:t xml:space="preserve"> </w:t>
      </w:r>
      <w:r w:rsidRPr="00F00582">
        <w:t>Réseau international sur le Processus de production du handicap</w:t>
      </w:r>
      <w:r>
        <w:t xml:space="preserve"> (RIPPH, </w:t>
      </w:r>
      <w:proofErr w:type="spellStart"/>
      <w:r>
        <w:t>s.d</w:t>
      </w:r>
      <w:proofErr w:type="spellEnd"/>
      <w:r>
        <w:t xml:space="preserve">.). </w:t>
      </w:r>
      <w:r w:rsidRPr="00F00582">
        <w:rPr>
          <w:i/>
        </w:rPr>
        <w:t>Le modèle</w:t>
      </w:r>
      <w:r>
        <w:t xml:space="preserve">. [En ligne] </w:t>
      </w:r>
      <w:hyperlink r:id="rId12" w:history="1">
        <w:r w:rsidRPr="00472A1C">
          <w:rPr>
            <w:rStyle w:val="Hyperlink"/>
          </w:rPr>
          <w:t>https://ripph.qc.ca/modele-mdh-pph/le-modele/</w:t>
        </w:r>
      </w:hyperlink>
      <w:r>
        <w:t xml:space="preserve"> (Consulté le 20 décembre 2019). </w:t>
      </w:r>
    </w:p>
  </w:footnote>
  <w:footnote w:id="21">
    <w:p w14:paraId="72728278" w14:textId="675F4E24" w:rsidR="00424591" w:rsidRPr="00B75C9D" w:rsidRDefault="00424591" w:rsidP="00B75C9D">
      <w:pPr>
        <w:pStyle w:val="FootnoteText"/>
      </w:pPr>
      <w:r>
        <w:rPr>
          <w:rStyle w:val="FootnoteReference"/>
        </w:rPr>
        <w:footnoteRef/>
      </w:r>
      <w:r>
        <w:t xml:space="preserve"> </w:t>
      </w:r>
      <w:r w:rsidR="000B0A33">
        <w:t>Statistique Canada (2012</w:t>
      </w:r>
      <w:r w:rsidRPr="000B0A33">
        <w:t>).</w:t>
      </w:r>
      <w:r w:rsidRPr="00F16CB3">
        <w:t xml:space="preserve"> </w:t>
      </w:r>
      <w:r w:rsidR="000B0A33" w:rsidRPr="000B0A33">
        <w:rPr>
          <w:i/>
        </w:rPr>
        <w:t>Littératie, numératie - Scores moyens et répartition des niveaux de compétence, selon la situation d'activité, le niveau le plus élevé de scolarité et le groupe d'âge</w:t>
      </w:r>
      <w:r w:rsidRPr="00F16CB3">
        <w:t>.</w:t>
      </w:r>
      <w:r>
        <w:t xml:space="preserve"> </w:t>
      </w:r>
      <w:r w:rsidRPr="003D010F">
        <w:t xml:space="preserve">[En ligne] </w:t>
      </w:r>
      <w:hyperlink r:id="rId13" w:history="1">
        <w:r w:rsidR="000B0A33" w:rsidRPr="00B60782">
          <w:rPr>
            <w:rStyle w:val="Hyperlink"/>
          </w:rPr>
          <w:t>https://www150.statcan.gc.ca/t1/tbl1/fr/tv.action?pid=3710004901&amp;pickMembers%5B0%5D=1.6&amp;pickMembers%5B1%5D=2.1&amp;pickMembers%5B2%5D=5.1</w:t>
        </w:r>
      </w:hyperlink>
      <w:r w:rsidR="000B0A33">
        <w:t xml:space="preserve"> </w:t>
      </w:r>
      <w:r w:rsidRPr="003D010F">
        <w:t>(</w:t>
      </w:r>
      <w:r w:rsidR="000B0A33">
        <w:t>Consulté</w:t>
      </w:r>
      <w:r w:rsidRPr="003D010F">
        <w:t xml:space="preserve"> le 20 </w:t>
      </w:r>
      <w:r w:rsidR="000B0A33">
        <w:t>janvier 2020</w:t>
      </w:r>
      <w:r w:rsidRPr="003D010F">
        <w:t>).</w:t>
      </w:r>
    </w:p>
  </w:footnote>
  <w:footnote w:id="22">
    <w:p w14:paraId="1EAA8F6D" w14:textId="3F69DD35" w:rsidR="00424591" w:rsidRPr="003D010F" w:rsidRDefault="00424591" w:rsidP="00C41E2B">
      <w:pPr>
        <w:pStyle w:val="FootnoteText"/>
        <w:rPr>
          <w:lang w:val="fr-CA"/>
        </w:rPr>
      </w:pPr>
      <w:r>
        <w:t xml:space="preserve"> </w:t>
      </w:r>
      <w:r w:rsidRPr="00A95F19">
        <w:rPr>
          <w:rStyle w:val="FootnoteReference"/>
        </w:rPr>
        <w:footnoteRef/>
      </w:r>
      <w:r w:rsidRPr="00A95F19">
        <w:t xml:space="preserve"> </w:t>
      </w:r>
      <w:r w:rsidRPr="00441609">
        <w:t xml:space="preserve">Secrétariat général </w:t>
      </w:r>
      <w:r>
        <w:t xml:space="preserve">- </w:t>
      </w:r>
      <w:r w:rsidRPr="00A95F19">
        <w:t xml:space="preserve">Office des personnes handicapées du Québec (2017). </w:t>
      </w:r>
      <w:r w:rsidRPr="00A95F19">
        <w:rPr>
          <w:i/>
          <w:iCs/>
        </w:rPr>
        <w:t>Évaluation de l'efficacité de la politique gouvernementale À part entière : pour un véritable exercice du droit à l'égalité : les communications</w:t>
      </w:r>
      <w:r w:rsidRPr="00A95F19">
        <w:t>, 120</w:t>
      </w:r>
      <w:r w:rsidR="000B0A33">
        <w:t xml:space="preserve"> p. [En ligne] </w:t>
      </w:r>
      <w:hyperlink r:id="rId14" w:history="1">
        <w:r w:rsidRPr="000B0A33">
          <w:rPr>
            <w:rStyle w:val="Hyperlink"/>
          </w:rPr>
          <w:t>https://www.ophq.gouv.qc.ca/fileadmin/centre_documentaire/Etudes__analyses_et_rapports/OPHQ_Rapport_Communication_EPF_WEB.pdf</w:t>
        </w:r>
      </w:hyperlink>
      <w:r w:rsidRPr="00A95F19">
        <w:t xml:space="preserve"> </w:t>
      </w:r>
      <w:r>
        <w:t>(</w:t>
      </w:r>
      <w:r w:rsidRPr="003D010F">
        <w:t xml:space="preserve">Récupéré le 23 décembre 2019). </w:t>
      </w:r>
    </w:p>
  </w:footnote>
  <w:footnote w:id="23">
    <w:p w14:paraId="75B14FCD" w14:textId="0DE73894" w:rsidR="00424591" w:rsidRPr="003F71E9" w:rsidRDefault="00424591">
      <w:pPr>
        <w:pStyle w:val="FootnoteText"/>
        <w:rPr>
          <w:lang w:val="fr-CA"/>
        </w:rPr>
      </w:pPr>
      <w:r w:rsidRPr="003D010F">
        <w:rPr>
          <w:rStyle w:val="FootnoteReference"/>
        </w:rPr>
        <w:footnoteRef/>
      </w:r>
      <w:r w:rsidRPr="003D010F">
        <w:t xml:space="preserve"> </w:t>
      </w:r>
      <w:r w:rsidRPr="003D010F">
        <w:rPr>
          <w:lang w:val="fr-CA"/>
        </w:rPr>
        <w:t xml:space="preserve">Ministère de l’Éducation et de l’enseignement supérieur du Québec (2012). </w:t>
      </w:r>
      <w:r w:rsidRPr="00441609">
        <w:rPr>
          <w:i/>
          <w:lang w:val="fr-CA"/>
        </w:rPr>
        <w:t>Compétences de niveau 2</w:t>
      </w:r>
      <w:r w:rsidRPr="003D010F">
        <w:rPr>
          <w:lang w:val="fr-CA"/>
        </w:rPr>
        <w:t xml:space="preserve">. [En ligne] </w:t>
      </w:r>
      <w:hyperlink r:id="rId15" w:history="1">
        <w:r w:rsidRPr="003D010F">
          <w:rPr>
            <w:rStyle w:val="Hyperlink"/>
            <w:lang w:val="fr-CA"/>
          </w:rPr>
          <w:t>http://www.education.gouv.qc.ca/adultes/references/litteratie/peica/resultats-2012/niveau-2/</w:t>
        </w:r>
      </w:hyperlink>
      <w:r w:rsidRPr="003D010F">
        <w:rPr>
          <w:lang w:val="fr-CA"/>
        </w:rPr>
        <w:t xml:space="preserve"> (Consulté le 20 janvier 2020).</w:t>
      </w:r>
    </w:p>
  </w:footnote>
  <w:footnote w:id="24">
    <w:p w14:paraId="2323C0A9" w14:textId="225F0B17" w:rsidR="00424591" w:rsidRPr="00924CA9" w:rsidRDefault="00424591">
      <w:pPr>
        <w:pStyle w:val="FootnoteText"/>
        <w:rPr>
          <w:lang w:val="fr-CA"/>
        </w:rPr>
      </w:pPr>
      <w:r>
        <w:rPr>
          <w:rStyle w:val="FootnoteReference"/>
        </w:rPr>
        <w:footnoteRef/>
      </w:r>
      <w:r>
        <w:t xml:space="preserve"> Ville de Montréal (2016). </w:t>
      </w:r>
      <w:r w:rsidRPr="00656838">
        <w:rPr>
          <w:i/>
        </w:rPr>
        <w:t>Montréal en statistiques - Langues</w:t>
      </w:r>
      <w:r>
        <w:t xml:space="preserve">. [En ligne] </w:t>
      </w:r>
      <w:hyperlink r:id="rId16" w:history="1">
        <w:r w:rsidRPr="00845684">
          <w:rPr>
            <w:rStyle w:val="Hyperlink"/>
          </w:rPr>
          <w:t>http://ville.montreal.qc.ca/portal/page?_pageid=6897,67887637&amp;_dad=portal&amp;_schema=PORTAL</w:t>
        </w:r>
      </w:hyperlink>
      <w:r>
        <w:t xml:space="preserve"> (Consulté le </w:t>
      </w:r>
      <w:r w:rsidRPr="003D010F">
        <w:t>10 janvier 2020).</w:t>
      </w:r>
      <w:r>
        <w:t xml:space="preserve"> </w:t>
      </w:r>
    </w:p>
  </w:footnote>
  <w:footnote w:id="25">
    <w:p w14:paraId="46B903A7" w14:textId="086F162A" w:rsidR="00424591" w:rsidRDefault="00424591" w:rsidP="006F6A5F">
      <w:pPr>
        <w:pStyle w:val="FootnoteText"/>
      </w:pPr>
      <w:r>
        <w:rPr>
          <w:rStyle w:val="FootnoteReference"/>
        </w:rPr>
        <w:footnoteRef/>
      </w:r>
      <w:r>
        <w:t xml:space="preserve"> </w:t>
      </w:r>
      <w:r w:rsidRPr="00656838">
        <w:t xml:space="preserve">Direction régionale de santé publique de Montréal </w:t>
      </w:r>
      <w:r>
        <w:t xml:space="preserve">- </w:t>
      </w:r>
      <w:r w:rsidRPr="00441609">
        <w:t xml:space="preserve">CIUSSS du Centre-Sud-de-l’île-de-Montréal </w:t>
      </w:r>
      <w:r>
        <w:t>&amp;</w:t>
      </w:r>
      <w:r w:rsidRPr="00656838">
        <w:t xml:space="preserve"> Table de concertation des aînés de l’île de Montréal (</w:t>
      </w:r>
      <w:r>
        <w:t>2016</w:t>
      </w:r>
      <w:r w:rsidRPr="00656838">
        <w:t>)</w:t>
      </w:r>
      <w:r>
        <w:t xml:space="preserve">. </w:t>
      </w:r>
      <w:r w:rsidRPr="00A3105E">
        <w:rPr>
          <w:i/>
        </w:rPr>
        <w:t>Les conditions de vie des aînés immigrants</w:t>
      </w:r>
      <w:r>
        <w:t>,</w:t>
      </w:r>
      <w:r w:rsidRPr="003D010F">
        <w:rPr>
          <w:rStyle w:val="Hyperlink"/>
          <w:color w:val="auto"/>
          <w:u w:val="none"/>
        </w:rPr>
        <w:t xml:space="preserve"> 6p.</w:t>
      </w:r>
      <w:r w:rsidRPr="002B17FB">
        <w:rPr>
          <w:rStyle w:val="Hyperlink"/>
          <w:color w:val="auto"/>
          <w:u w:val="none"/>
        </w:rPr>
        <w:t xml:space="preserve"> [En ligne] </w:t>
      </w:r>
      <w:hyperlink r:id="rId17" w:history="1">
        <w:r w:rsidRPr="002B17FB">
          <w:rPr>
            <w:rStyle w:val="Hyperlink"/>
          </w:rPr>
          <w:t>https://santemontreal.qc.ca/fileadmin/fichiers/professionnels/DRSP/sujets-a-z/Aines/Fiche-aines-immigrants_FR.pdf</w:t>
        </w:r>
      </w:hyperlink>
      <w:r>
        <w:rPr>
          <w:rStyle w:val="Lienhypertexte1"/>
        </w:rPr>
        <w:t xml:space="preserve"> </w:t>
      </w:r>
      <w:r w:rsidRPr="002B17FB">
        <w:rPr>
          <w:rStyle w:val="Lienhypertexte1"/>
          <w:color w:val="auto"/>
          <w:u w:val="none"/>
        </w:rPr>
        <w:t>(</w:t>
      </w:r>
      <w:r>
        <w:rPr>
          <w:rStyle w:val="Lienhypertexte1"/>
          <w:color w:val="auto"/>
          <w:u w:val="none"/>
        </w:rPr>
        <w:t>Récupér</w:t>
      </w:r>
      <w:r w:rsidRPr="002B17FB">
        <w:rPr>
          <w:rStyle w:val="Lienhypertexte1"/>
          <w:color w:val="auto"/>
          <w:u w:val="none"/>
        </w:rPr>
        <w:t xml:space="preserve">é </w:t>
      </w:r>
      <w:r w:rsidRPr="003D010F">
        <w:rPr>
          <w:rStyle w:val="Lienhypertexte1"/>
          <w:color w:val="auto"/>
          <w:u w:val="none"/>
        </w:rPr>
        <w:t>le 14 décembre 2019).</w:t>
      </w:r>
      <w:r w:rsidRPr="002B17FB">
        <w:t xml:space="preserve"> </w:t>
      </w:r>
    </w:p>
  </w:footnote>
  <w:footnote w:id="26">
    <w:p w14:paraId="10F14B6D" w14:textId="6AEBBA30" w:rsidR="00424591" w:rsidRPr="001F6C95" w:rsidRDefault="00424591">
      <w:pPr>
        <w:pStyle w:val="FootnoteText"/>
        <w:rPr>
          <w:lang w:val="fr-CA"/>
        </w:rPr>
      </w:pPr>
      <w:r>
        <w:rPr>
          <w:rStyle w:val="FootnoteReference"/>
        </w:rPr>
        <w:footnoteRef/>
      </w:r>
      <w:r>
        <w:t xml:space="preserve"> </w:t>
      </w:r>
      <w:r w:rsidRPr="00441609">
        <w:t xml:space="preserve">Réalisons Montréal </w:t>
      </w:r>
      <w:r>
        <w:t xml:space="preserve">- Ville de Montréal (2018). </w:t>
      </w:r>
      <w:r w:rsidRPr="002B17FB">
        <w:rPr>
          <w:i/>
        </w:rPr>
        <w:t>Agenda montréalais 2030 pour la qualité et l'exemplarité en design et en architecture</w:t>
      </w:r>
      <w:r>
        <w:t xml:space="preserve">, [En ligne] </w:t>
      </w:r>
      <w:hyperlink r:id="rId18" w:history="1">
        <w:r w:rsidRPr="00472A1C">
          <w:rPr>
            <w:rStyle w:val="Hyperlink"/>
          </w:rPr>
          <w:t>https://www.realisonsmtl.ca/qualite</w:t>
        </w:r>
      </w:hyperlink>
      <w:r>
        <w:t xml:space="preserve"> (Consulté </w:t>
      </w:r>
      <w:r w:rsidRPr="003D010F">
        <w:t>le 17 janvier</w:t>
      </w:r>
      <w:r>
        <w:t xml:space="preserve"> 2020). </w:t>
      </w:r>
    </w:p>
  </w:footnote>
  <w:footnote w:id="27">
    <w:p w14:paraId="42CDE6B9" w14:textId="5DD930D0" w:rsidR="00424591" w:rsidRPr="00102057" w:rsidRDefault="00424591">
      <w:pPr>
        <w:pStyle w:val="FootnoteText"/>
        <w:rPr>
          <w:lang w:val="fr-CA"/>
        </w:rPr>
      </w:pPr>
      <w:r>
        <w:rPr>
          <w:rStyle w:val="FootnoteReference"/>
        </w:rPr>
        <w:footnoteRef/>
      </w:r>
      <w:r>
        <w:t xml:space="preserve"> Commission permanente sur l’eau, l’environnement, le développement durable et les grands parcs – Ville de Montréal - </w:t>
      </w:r>
      <w:r w:rsidRPr="00441609">
        <w:t xml:space="preserve">Service du greffe </w:t>
      </w:r>
      <w:r>
        <w:t xml:space="preserve">- </w:t>
      </w:r>
      <w:r w:rsidRPr="00441609">
        <w:t xml:space="preserve">Division des élections, du soutien aux commissions et de la réglementation </w:t>
      </w:r>
      <w:r>
        <w:t xml:space="preserve">(2019). </w:t>
      </w:r>
      <w:r w:rsidRPr="000867AE">
        <w:rPr>
          <w:i/>
        </w:rPr>
        <w:t>Consultation publique sur le contrôle des circulaires : recommandations</w:t>
      </w:r>
      <w:r>
        <w:t xml:space="preserve">, 7 p. [En ligne] </w:t>
      </w:r>
      <w:hyperlink r:id="rId19" w:history="1">
        <w:r w:rsidRPr="00DD759A">
          <w:rPr>
            <w:rStyle w:val="Hyperlink"/>
          </w:rPr>
          <w:t>http://ville.montreal.qc.ca/pls/portal/url/ITEM/99099964613D20A4E0530A93013220A4</w:t>
        </w:r>
      </w:hyperlink>
      <w:r>
        <w:t xml:space="preserve"> (Récupéré </w:t>
      </w:r>
      <w:r w:rsidRPr="003D010F">
        <w:t>le 10</w:t>
      </w:r>
      <w:r>
        <w:t xml:space="preserve"> janvier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07572" w14:textId="77777777" w:rsidR="00424591" w:rsidRDefault="00424591" w:rsidP="00507D1D">
    <w:pPr>
      <w:pStyle w:val="Header"/>
    </w:pPr>
    <w:r>
      <w:t xml:space="preserve">. </w:t>
    </w:r>
  </w:p>
  <w:p w14:paraId="1BB6446C" w14:textId="77777777" w:rsidR="00424591" w:rsidRDefault="00424591" w:rsidP="00507D1D">
    <w:pPr>
      <w:pStyle w:val="Header"/>
    </w:pPr>
    <w:r>
      <w:t xml:space="preserve"> </w:t>
    </w:r>
  </w:p>
  <w:p w14:paraId="3A6BAAF1" w14:textId="77777777" w:rsidR="00424591" w:rsidRDefault="00424591" w:rsidP="00507D1D">
    <w:pPr>
      <w:pStyle w:val="Header"/>
    </w:pPr>
    <w:r>
      <w:t xml:space="preserve"> </w:t>
    </w:r>
  </w:p>
  <w:p w14:paraId="4F89B2DF" w14:textId="77777777" w:rsidR="00424591" w:rsidRDefault="00424591" w:rsidP="00507D1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3F3E7" w14:textId="77777777" w:rsidR="00424591" w:rsidRDefault="00424591" w:rsidP="00507D1D">
    <w:pPr>
      <w:pStyle w:val="Header"/>
    </w:pPr>
    <w:r>
      <w:t>DéPhy Montréal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4643D" w14:textId="77777777" w:rsidR="00424591" w:rsidRDefault="004245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75CAE94"/>
    <w:lvl w:ilvl="0">
      <w:start w:val="1"/>
      <w:numFmt w:val="decimal"/>
      <w:pStyle w:val="ListNumber"/>
      <w:suff w:val="space"/>
      <w:lvlText w:val="%1."/>
      <w:lvlJc w:val="left"/>
      <w:pPr>
        <w:ind w:left="284" w:hanging="284"/>
      </w:pPr>
      <w:rPr>
        <w:rFonts w:hint="default"/>
      </w:rPr>
    </w:lvl>
  </w:abstractNum>
  <w:abstractNum w:abstractNumId="1" w15:restartNumberingAfterBreak="0">
    <w:nsid w:val="FFFFFF89"/>
    <w:multiLevelType w:val="singleLevel"/>
    <w:tmpl w:val="9A20494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E54367"/>
    <w:multiLevelType w:val="hybridMultilevel"/>
    <w:tmpl w:val="FDCC41EE"/>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914355"/>
    <w:multiLevelType w:val="hybridMultilevel"/>
    <w:tmpl w:val="B1B29238"/>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E731DC"/>
    <w:multiLevelType w:val="multilevel"/>
    <w:tmpl w:val="5EE4CA6A"/>
    <w:lvl w:ilvl="0">
      <w:start w:val="1"/>
      <w:numFmt w:val="decimal"/>
      <w:pStyle w:val="TOCHeadi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0F6847"/>
    <w:multiLevelType w:val="hybridMultilevel"/>
    <w:tmpl w:val="8976E6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9AF12F2"/>
    <w:multiLevelType w:val="hybridMultilevel"/>
    <w:tmpl w:val="B8BC83B6"/>
    <w:lvl w:ilvl="0" w:tplc="C866A40A">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AD104A7"/>
    <w:multiLevelType w:val="hybridMultilevel"/>
    <w:tmpl w:val="744AAA74"/>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DB394D"/>
    <w:multiLevelType w:val="hybridMultilevel"/>
    <w:tmpl w:val="FFF883B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336374"/>
    <w:multiLevelType w:val="hybridMultilevel"/>
    <w:tmpl w:val="438478B8"/>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E1D6A2F"/>
    <w:multiLevelType w:val="hybridMultilevel"/>
    <w:tmpl w:val="A35A2C1A"/>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4E22454"/>
    <w:multiLevelType w:val="hybridMultilevel"/>
    <w:tmpl w:val="6810C9CE"/>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8E62B6E"/>
    <w:multiLevelType w:val="hybridMultilevel"/>
    <w:tmpl w:val="86C83E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B5C1954"/>
    <w:multiLevelType w:val="hybridMultilevel"/>
    <w:tmpl w:val="0BAAB702"/>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CBD05AE"/>
    <w:multiLevelType w:val="hybridMultilevel"/>
    <w:tmpl w:val="10F60CA0"/>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5176114"/>
    <w:multiLevelType w:val="hybridMultilevel"/>
    <w:tmpl w:val="76A07A0A"/>
    <w:lvl w:ilvl="0" w:tplc="04090011">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 w15:restartNumberingAfterBreak="0">
    <w:nsid w:val="35AD7137"/>
    <w:multiLevelType w:val="hybridMultilevel"/>
    <w:tmpl w:val="3678070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6C7FC9"/>
    <w:multiLevelType w:val="hybridMultilevel"/>
    <w:tmpl w:val="9698ACF8"/>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8CD5D9E"/>
    <w:multiLevelType w:val="hybridMultilevel"/>
    <w:tmpl w:val="72E09CDA"/>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B531E6B"/>
    <w:multiLevelType w:val="hybridMultilevel"/>
    <w:tmpl w:val="6AD0067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C039E7"/>
    <w:multiLevelType w:val="hybridMultilevel"/>
    <w:tmpl w:val="178834F0"/>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12142A6"/>
    <w:multiLevelType w:val="hybridMultilevel"/>
    <w:tmpl w:val="6810C9CE"/>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BAA049C"/>
    <w:multiLevelType w:val="hybridMultilevel"/>
    <w:tmpl w:val="E696B8C6"/>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4C8411A"/>
    <w:multiLevelType w:val="hybridMultilevel"/>
    <w:tmpl w:val="C9EE46BC"/>
    <w:lvl w:ilvl="0" w:tplc="AA00433E">
      <w:start w:val="1"/>
      <w:numFmt w:val="bullet"/>
      <w:pStyle w:val="liste-niv-1"/>
      <w:lvlText w:val=""/>
      <w:lvlJc w:val="left"/>
      <w:pPr>
        <w:ind w:left="720" w:hanging="360"/>
      </w:pPr>
      <w:rPr>
        <w:rFonts w:ascii="Symbol" w:hAnsi="Symbol" w:hint="default"/>
      </w:rPr>
    </w:lvl>
    <w:lvl w:ilvl="1" w:tplc="0B0AF700">
      <w:start w:val="1"/>
      <w:numFmt w:val="bullet"/>
      <w:pStyle w:val="liste-niv-2"/>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50444C3"/>
    <w:multiLevelType w:val="hybridMultilevel"/>
    <w:tmpl w:val="0F988F14"/>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C13104A"/>
    <w:multiLevelType w:val="hybridMultilevel"/>
    <w:tmpl w:val="18F85EEE"/>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088180E"/>
    <w:multiLevelType w:val="hybridMultilevel"/>
    <w:tmpl w:val="FBAEEFA8"/>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26F0887"/>
    <w:multiLevelType w:val="hybridMultilevel"/>
    <w:tmpl w:val="B7B8C652"/>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BBE1633"/>
    <w:multiLevelType w:val="hybridMultilevel"/>
    <w:tmpl w:val="A73C596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EFF6976"/>
    <w:multiLevelType w:val="multilevel"/>
    <w:tmpl w:val="61FA0B0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7030431F"/>
    <w:multiLevelType w:val="hybridMultilevel"/>
    <w:tmpl w:val="B0486800"/>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6014B80"/>
    <w:multiLevelType w:val="hybridMultilevel"/>
    <w:tmpl w:val="79A8A8E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74869E3"/>
    <w:multiLevelType w:val="hybridMultilevel"/>
    <w:tmpl w:val="D0B06B8A"/>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EB00C3D"/>
    <w:multiLevelType w:val="hybridMultilevel"/>
    <w:tmpl w:val="6810C9CE"/>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9"/>
  </w:num>
  <w:num w:numId="5">
    <w:abstractNumId w:val="23"/>
  </w:num>
  <w:num w:numId="6">
    <w:abstractNumId w:val="31"/>
  </w:num>
  <w:num w:numId="7">
    <w:abstractNumId w:val="19"/>
  </w:num>
  <w:num w:numId="8">
    <w:abstractNumId w:val="15"/>
  </w:num>
  <w:num w:numId="9">
    <w:abstractNumId w:val="8"/>
  </w:num>
  <w:num w:numId="10">
    <w:abstractNumId w:val="12"/>
  </w:num>
  <w:num w:numId="11">
    <w:abstractNumId w:val="16"/>
  </w:num>
  <w:num w:numId="12">
    <w:abstractNumId w:val="28"/>
  </w:num>
  <w:num w:numId="13">
    <w:abstractNumId w:val="6"/>
  </w:num>
  <w:num w:numId="14">
    <w:abstractNumId w:val="21"/>
  </w:num>
  <w:num w:numId="15">
    <w:abstractNumId w:val="25"/>
  </w:num>
  <w:num w:numId="16">
    <w:abstractNumId w:val="2"/>
  </w:num>
  <w:num w:numId="17">
    <w:abstractNumId w:val="32"/>
  </w:num>
  <w:num w:numId="18">
    <w:abstractNumId w:val="18"/>
  </w:num>
  <w:num w:numId="19">
    <w:abstractNumId w:val="9"/>
  </w:num>
  <w:num w:numId="20">
    <w:abstractNumId w:val="20"/>
  </w:num>
  <w:num w:numId="21">
    <w:abstractNumId w:val="7"/>
  </w:num>
  <w:num w:numId="22">
    <w:abstractNumId w:val="22"/>
  </w:num>
  <w:num w:numId="23">
    <w:abstractNumId w:val="14"/>
  </w:num>
  <w:num w:numId="24">
    <w:abstractNumId w:val="3"/>
  </w:num>
  <w:num w:numId="25">
    <w:abstractNumId w:val="27"/>
  </w:num>
  <w:num w:numId="26">
    <w:abstractNumId w:val="26"/>
  </w:num>
  <w:num w:numId="27">
    <w:abstractNumId w:val="30"/>
  </w:num>
  <w:num w:numId="28">
    <w:abstractNumId w:val="17"/>
  </w:num>
  <w:num w:numId="29">
    <w:abstractNumId w:val="24"/>
  </w:num>
  <w:num w:numId="30">
    <w:abstractNumId w:val="13"/>
  </w:num>
  <w:num w:numId="31">
    <w:abstractNumId w:val="10"/>
  </w:num>
  <w:num w:numId="32">
    <w:abstractNumId w:val="5"/>
  </w:num>
  <w:num w:numId="33">
    <w:abstractNumId w:val="33"/>
  </w:num>
  <w:num w:numId="3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D7"/>
    <w:rsid w:val="0000020C"/>
    <w:rsid w:val="00001F02"/>
    <w:rsid w:val="0000728E"/>
    <w:rsid w:val="00007332"/>
    <w:rsid w:val="00007A1C"/>
    <w:rsid w:val="00010DCC"/>
    <w:rsid w:val="0001355F"/>
    <w:rsid w:val="000144E3"/>
    <w:rsid w:val="000152D1"/>
    <w:rsid w:val="0001565E"/>
    <w:rsid w:val="00016CED"/>
    <w:rsid w:val="000203EA"/>
    <w:rsid w:val="000217C4"/>
    <w:rsid w:val="00021861"/>
    <w:rsid w:val="000218DF"/>
    <w:rsid w:val="000224C7"/>
    <w:rsid w:val="00023E6E"/>
    <w:rsid w:val="00024CA9"/>
    <w:rsid w:val="00024F6C"/>
    <w:rsid w:val="000251B4"/>
    <w:rsid w:val="00025211"/>
    <w:rsid w:val="00025225"/>
    <w:rsid w:val="00025F44"/>
    <w:rsid w:val="000301EE"/>
    <w:rsid w:val="00030D9D"/>
    <w:rsid w:val="00031448"/>
    <w:rsid w:val="00031592"/>
    <w:rsid w:val="00032846"/>
    <w:rsid w:val="00033451"/>
    <w:rsid w:val="00034ECD"/>
    <w:rsid w:val="0003521C"/>
    <w:rsid w:val="000361A9"/>
    <w:rsid w:val="00036CFC"/>
    <w:rsid w:val="00036EC3"/>
    <w:rsid w:val="00036F51"/>
    <w:rsid w:val="00041699"/>
    <w:rsid w:val="00042D68"/>
    <w:rsid w:val="000440D4"/>
    <w:rsid w:val="0004612F"/>
    <w:rsid w:val="00046A3F"/>
    <w:rsid w:val="00046BFB"/>
    <w:rsid w:val="00050BA2"/>
    <w:rsid w:val="00051B6C"/>
    <w:rsid w:val="00052569"/>
    <w:rsid w:val="000526C0"/>
    <w:rsid w:val="000530AF"/>
    <w:rsid w:val="00055934"/>
    <w:rsid w:val="0006027A"/>
    <w:rsid w:val="00060726"/>
    <w:rsid w:val="000611F2"/>
    <w:rsid w:val="000618BE"/>
    <w:rsid w:val="00062F74"/>
    <w:rsid w:val="00064524"/>
    <w:rsid w:val="00064B59"/>
    <w:rsid w:val="00065A4B"/>
    <w:rsid w:val="00066246"/>
    <w:rsid w:val="00066EB0"/>
    <w:rsid w:val="00067BDC"/>
    <w:rsid w:val="00067F4F"/>
    <w:rsid w:val="00073948"/>
    <w:rsid w:val="000743A4"/>
    <w:rsid w:val="00074EBC"/>
    <w:rsid w:val="00077CB2"/>
    <w:rsid w:val="00080961"/>
    <w:rsid w:val="00080C17"/>
    <w:rsid w:val="00080D5F"/>
    <w:rsid w:val="00081FCE"/>
    <w:rsid w:val="00082650"/>
    <w:rsid w:val="000867AE"/>
    <w:rsid w:val="00086C0C"/>
    <w:rsid w:val="00090DA1"/>
    <w:rsid w:val="00091633"/>
    <w:rsid w:val="00091FBB"/>
    <w:rsid w:val="000926DC"/>
    <w:rsid w:val="0009568D"/>
    <w:rsid w:val="0009760D"/>
    <w:rsid w:val="000A0093"/>
    <w:rsid w:val="000A19C3"/>
    <w:rsid w:val="000A5D95"/>
    <w:rsid w:val="000A7D69"/>
    <w:rsid w:val="000B06A5"/>
    <w:rsid w:val="000B0A33"/>
    <w:rsid w:val="000B1B83"/>
    <w:rsid w:val="000B23B3"/>
    <w:rsid w:val="000B3766"/>
    <w:rsid w:val="000B3E58"/>
    <w:rsid w:val="000B621B"/>
    <w:rsid w:val="000B63E5"/>
    <w:rsid w:val="000C206A"/>
    <w:rsid w:val="000C337E"/>
    <w:rsid w:val="000C4600"/>
    <w:rsid w:val="000C5544"/>
    <w:rsid w:val="000D1013"/>
    <w:rsid w:val="000E028D"/>
    <w:rsid w:val="000E08C3"/>
    <w:rsid w:val="000E14D8"/>
    <w:rsid w:val="000E215C"/>
    <w:rsid w:val="000E256C"/>
    <w:rsid w:val="000E3FE9"/>
    <w:rsid w:val="000E62A3"/>
    <w:rsid w:val="000E779D"/>
    <w:rsid w:val="000F083E"/>
    <w:rsid w:val="000F5BDE"/>
    <w:rsid w:val="000F5D88"/>
    <w:rsid w:val="000F6032"/>
    <w:rsid w:val="000F7F45"/>
    <w:rsid w:val="00100CFF"/>
    <w:rsid w:val="001010DC"/>
    <w:rsid w:val="001013C6"/>
    <w:rsid w:val="00102057"/>
    <w:rsid w:val="00103BB9"/>
    <w:rsid w:val="001044F0"/>
    <w:rsid w:val="00106E63"/>
    <w:rsid w:val="00107093"/>
    <w:rsid w:val="001102FE"/>
    <w:rsid w:val="00112010"/>
    <w:rsid w:val="0011293E"/>
    <w:rsid w:val="00112DD5"/>
    <w:rsid w:val="001131FC"/>
    <w:rsid w:val="001148B5"/>
    <w:rsid w:val="00117EE4"/>
    <w:rsid w:val="0012190B"/>
    <w:rsid w:val="00122676"/>
    <w:rsid w:val="00126E5B"/>
    <w:rsid w:val="00127F80"/>
    <w:rsid w:val="001317EE"/>
    <w:rsid w:val="00133363"/>
    <w:rsid w:val="001333F4"/>
    <w:rsid w:val="00135C0F"/>
    <w:rsid w:val="001370EC"/>
    <w:rsid w:val="001406B8"/>
    <w:rsid w:val="00140DDD"/>
    <w:rsid w:val="00142B24"/>
    <w:rsid w:val="00142FFD"/>
    <w:rsid w:val="00143794"/>
    <w:rsid w:val="0014570F"/>
    <w:rsid w:val="0014650F"/>
    <w:rsid w:val="001478D7"/>
    <w:rsid w:val="001507AA"/>
    <w:rsid w:val="00150FE5"/>
    <w:rsid w:val="001523BA"/>
    <w:rsid w:val="00154460"/>
    <w:rsid w:val="001609A8"/>
    <w:rsid w:val="00161B10"/>
    <w:rsid w:val="00165968"/>
    <w:rsid w:val="00166B80"/>
    <w:rsid w:val="00166DF8"/>
    <w:rsid w:val="001676FB"/>
    <w:rsid w:val="0017033F"/>
    <w:rsid w:val="0017046C"/>
    <w:rsid w:val="00170765"/>
    <w:rsid w:val="001713BD"/>
    <w:rsid w:val="00171FB0"/>
    <w:rsid w:val="00173D14"/>
    <w:rsid w:val="0017474A"/>
    <w:rsid w:val="0017518E"/>
    <w:rsid w:val="00180629"/>
    <w:rsid w:val="00180E33"/>
    <w:rsid w:val="00181BCB"/>
    <w:rsid w:val="001820BD"/>
    <w:rsid w:val="0018229B"/>
    <w:rsid w:val="00182519"/>
    <w:rsid w:val="00182888"/>
    <w:rsid w:val="00182975"/>
    <w:rsid w:val="00184411"/>
    <w:rsid w:val="001860E3"/>
    <w:rsid w:val="0018631D"/>
    <w:rsid w:val="001878D9"/>
    <w:rsid w:val="00191161"/>
    <w:rsid w:val="001916D8"/>
    <w:rsid w:val="00192A8F"/>
    <w:rsid w:val="00194DED"/>
    <w:rsid w:val="00196F57"/>
    <w:rsid w:val="001A04EA"/>
    <w:rsid w:val="001A0DD1"/>
    <w:rsid w:val="001A1BDB"/>
    <w:rsid w:val="001A2481"/>
    <w:rsid w:val="001A398D"/>
    <w:rsid w:val="001A44D2"/>
    <w:rsid w:val="001A471F"/>
    <w:rsid w:val="001A57EA"/>
    <w:rsid w:val="001B07F0"/>
    <w:rsid w:val="001B0862"/>
    <w:rsid w:val="001B1C0B"/>
    <w:rsid w:val="001B2C15"/>
    <w:rsid w:val="001B327A"/>
    <w:rsid w:val="001B44C0"/>
    <w:rsid w:val="001B450D"/>
    <w:rsid w:val="001B4745"/>
    <w:rsid w:val="001B545E"/>
    <w:rsid w:val="001B7DC0"/>
    <w:rsid w:val="001C067F"/>
    <w:rsid w:val="001C14F0"/>
    <w:rsid w:val="001C322B"/>
    <w:rsid w:val="001C6A95"/>
    <w:rsid w:val="001C71CD"/>
    <w:rsid w:val="001D0338"/>
    <w:rsid w:val="001D09E1"/>
    <w:rsid w:val="001D1648"/>
    <w:rsid w:val="001D1660"/>
    <w:rsid w:val="001D1AE4"/>
    <w:rsid w:val="001D1E22"/>
    <w:rsid w:val="001D1FA6"/>
    <w:rsid w:val="001D21BD"/>
    <w:rsid w:val="001D3E9A"/>
    <w:rsid w:val="001D4C9F"/>
    <w:rsid w:val="001D6C42"/>
    <w:rsid w:val="001D6D3D"/>
    <w:rsid w:val="001E189C"/>
    <w:rsid w:val="001E1D64"/>
    <w:rsid w:val="001E26CF"/>
    <w:rsid w:val="001E33B3"/>
    <w:rsid w:val="001E3E68"/>
    <w:rsid w:val="001E5DC2"/>
    <w:rsid w:val="001F05EF"/>
    <w:rsid w:val="001F0F8D"/>
    <w:rsid w:val="001F169F"/>
    <w:rsid w:val="001F18F7"/>
    <w:rsid w:val="001F2960"/>
    <w:rsid w:val="001F2D8C"/>
    <w:rsid w:val="001F3D65"/>
    <w:rsid w:val="001F4025"/>
    <w:rsid w:val="001F44CB"/>
    <w:rsid w:val="001F6153"/>
    <w:rsid w:val="001F6C95"/>
    <w:rsid w:val="001F71A8"/>
    <w:rsid w:val="00200EAE"/>
    <w:rsid w:val="00200FFA"/>
    <w:rsid w:val="0020164E"/>
    <w:rsid w:val="00202C07"/>
    <w:rsid w:val="00204198"/>
    <w:rsid w:val="00205BCE"/>
    <w:rsid w:val="00206418"/>
    <w:rsid w:val="00210E6D"/>
    <w:rsid w:val="00211A5B"/>
    <w:rsid w:val="0021506D"/>
    <w:rsid w:val="00215682"/>
    <w:rsid w:val="00215C35"/>
    <w:rsid w:val="0021739D"/>
    <w:rsid w:val="00217995"/>
    <w:rsid w:val="00220060"/>
    <w:rsid w:val="0022134B"/>
    <w:rsid w:val="00221EB6"/>
    <w:rsid w:val="00222008"/>
    <w:rsid w:val="002229CE"/>
    <w:rsid w:val="00222F4B"/>
    <w:rsid w:val="00224490"/>
    <w:rsid w:val="0022495A"/>
    <w:rsid w:val="002252D6"/>
    <w:rsid w:val="0022592D"/>
    <w:rsid w:val="00226086"/>
    <w:rsid w:val="00226392"/>
    <w:rsid w:val="00226F92"/>
    <w:rsid w:val="00230D77"/>
    <w:rsid w:val="0023188E"/>
    <w:rsid w:val="00231B47"/>
    <w:rsid w:val="002328F9"/>
    <w:rsid w:val="00232DAD"/>
    <w:rsid w:val="002332FE"/>
    <w:rsid w:val="002346F9"/>
    <w:rsid w:val="00235108"/>
    <w:rsid w:val="00236C49"/>
    <w:rsid w:val="00236DAA"/>
    <w:rsid w:val="00236EEA"/>
    <w:rsid w:val="002373FB"/>
    <w:rsid w:val="00240221"/>
    <w:rsid w:val="0024221A"/>
    <w:rsid w:val="002430C6"/>
    <w:rsid w:val="00243712"/>
    <w:rsid w:val="002455D8"/>
    <w:rsid w:val="0025105C"/>
    <w:rsid w:val="00251376"/>
    <w:rsid w:val="002518DE"/>
    <w:rsid w:val="00252FAB"/>
    <w:rsid w:val="00253B38"/>
    <w:rsid w:val="00254EBE"/>
    <w:rsid w:val="00255022"/>
    <w:rsid w:val="0025572F"/>
    <w:rsid w:val="00255F25"/>
    <w:rsid w:val="00255F61"/>
    <w:rsid w:val="00257BA8"/>
    <w:rsid w:val="00260735"/>
    <w:rsid w:val="00260A89"/>
    <w:rsid w:val="00260B7A"/>
    <w:rsid w:val="00260EDD"/>
    <w:rsid w:val="0026125E"/>
    <w:rsid w:val="002636FA"/>
    <w:rsid w:val="002641C7"/>
    <w:rsid w:val="00264241"/>
    <w:rsid w:val="0026445F"/>
    <w:rsid w:val="002679F5"/>
    <w:rsid w:val="002732AD"/>
    <w:rsid w:val="00273B97"/>
    <w:rsid w:val="00273F8F"/>
    <w:rsid w:val="00275DF8"/>
    <w:rsid w:val="00275EC1"/>
    <w:rsid w:val="00277387"/>
    <w:rsid w:val="0027783B"/>
    <w:rsid w:val="002805A9"/>
    <w:rsid w:val="00280C6C"/>
    <w:rsid w:val="00282009"/>
    <w:rsid w:val="002825DC"/>
    <w:rsid w:val="002828DC"/>
    <w:rsid w:val="00286008"/>
    <w:rsid w:val="002876CC"/>
    <w:rsid w:val="002904D0"/>
    <w:rsid w:val="00290CCC"/>
    <w:rsid w:val="00292430"/>
    <w:rsid w:val="00292DE4"/>
    <w:rsid w:val="00292EF6"/>
    <w:rsid w:val="0029326C"/>
    <w:rsid w:val="00293AEE"/>
    <w:rsid w:val="00294821"/>
    <w:rsid w:val="00294827"/>
    <w:rsid w:val="0029496E"/>
    <w:rsid w:val="00295C33"/>
    <w:rsid w:val="0029682A"/>
    <w:rsid w:val="002969F5"/>
    <w:rsid w:val="00297765"/>
    <w:rsid w:val="002A063C"/>
    <w:rsid w:val="002A0BEC"/>
    <w:rsid w:val="002A0F4B"/>
    <w:rsid w:val="002A145E"/>
    <w:rsid w:val="002A321E"/>
    <w:rsid w:val="002A3ED2"/>
    <w:rsid w:val="002A5625"/>
    <w:rsid w:val="002A669F"/>
    <w:rsid w:val="002A7F4C"/>
    <w:rsid w:val="002B0BFB"/>
    <w:rsid w:val="002B0EE4"/>
    <w:rsid w:val="002B17FB"/>
    <w:rsid w:val="002B21EA"/>
    <w:rsid w:val="002B255B"/>
    <w:rsid w:val="002B27E0"/>
    <w:rsid w:val="002B750A"/>
    <w:rsid w:val="002C0622"/>
    <w:rsid w:val="002C075B"/>
    <w:rsid w:val="002C0A9E"/>
    <w:rsid w:val="002C1259"/>
    <w:rsid w:val="002C4529"/>
    <w:rsid w:val="002C48A8"/>
    <w:rsid w:val="002C5C32"/>
    <w:rsid w:val="002C6223"/>
    <w:rsid w:val="002C65FF"/>
    <w:rsid w:val="002C6E6F"/>
    <w:rsid w:val="002C709E"/>
    <w:rsid w:val="002D04FB"/>
    <w:rsid w:val="002D0C23"/>
    <w:rsid w:val="002D11E1"/>
    <w:rsid w:val="002D1FFF"/>
    <w:rsid w:val="002D254F"/>
    <w:rsid w:val="002D2EE8"/>
    <w:rsid w:val="002D3B85"/>
    <w:rsid w:val="002D3C0D"/>
    <w:rsid w:val="002D5C03"/>
    <w:rsid w:val="002D6439"/>
    <w:rsid w:val="002D6D5D"/>
    <w:rsid w:val="002D7212"/>
    <w:rsid w:val="002D7874"/>
    <w:rsid w:val="002D79CD"/>
    <w:rsid w:val="002D7DC8"/>
    <w:rsid w:val="002E0C0C"/>
    <w:rsid w:val="002E0C5C"/>
    <w:rsid w:val="002E27E7"/>
    <w:rsid w:val="002E451F"/>
    <w:rsid w:val="002F05C8"/>
    <w:rsid w:val="002F080D"/>
    <w:rsid w:val="002F0BC3"/>
    <w:rsid w:val="002F1508"/>
    <w:rsid w:val="002F1C9B"/>
    <w:rsid w:val="002F23E5"/>
    <w:rsid w:val="002F2536"/>
    <w:rsid w:val="002F2B9D"/>
    <w:rsid w:val="002F2E49"/>
    <w:rsid w:val="002F4A2A"/>
    <w:rsid w:val="002F515D"/>
    <w:rsid w:val="002F56EE"/>
    <w:rsid w:val="002F59B9"/>
    <w:rsid w:val="002F7764"/>
    <w:rsid w:val="002F77FA"/>
    <w:rsid w:val="002F7BAD"/>
    <w:rsid w:val="0030038B"/>
    <w:rsid w:val="00300458"/>
    <w:rsid w:val="00300566"/>
    <w:rsid w:val="00300843"/>
    <w:rsid w:val="00301073"/>
    <w:rsid w:val="003011BE"/>
    <w:rsid w:val="00301CD4"/>
    <w:rsid w:val="00302B7A"/>
    <w:rsid w:val="00302FBF"/>
    <w:rsid w:val="003040CE"/>
    <w:rsid w:val="003041B5"/>
    <w:rsid w:val="003049CD"/>
    <w:rsid w:val="003054D9"/>
    <w:rsid w:val="003062D9"/>
    <w:rsid w:val="00307D26"/>
    <w:rsid w:val="00307F21"/>
    <w:rsid w:val="00310A5B"/>
    <w:rsid w:val="003111DA"/>
    <w:rsid w:val="00311E78"/>
    <w:rsid w:val="00315950"/>
    <w:rsid w:val="0031674F"/>
    <w:rsid w:val="00317BAD"/>
    <w:rsid w:val="003217A8"/>
    <w:rsid w:val="003221DB"/>
    <w:rsid w:val="00324334"/>
    <w:rsid w:val="0032635A"/>
    <w:rsid w:val="003270E8"/>
    <w:rsid w:val="00330D4E"/>
    <w:rsid w:val="0033100C"/>
    <w:rsid w:val="003315F7"/>
    <w:rsid w:val="00331815"/>
    <w:rsid w:val="00331D75"/>
    <w:rsid w:val="00332F2C"/>
    <w:rsid w:val="00333DAC"/>
    <w:rsid w:val="00334251"/>
    <w:rsid w:val="00335355"/>
    <w:rsid w:val="00335C17"/>
    <w:rsid w:val="003362B5"/>
    <w:rsid w:val="00337597"/>
    <w:rsid w:val="00340E64"/>
    <w:rsid w:val="00346530"/>
    <w:rsid w:val="00346896"/>
    <w:rsid w:val="00346C87"/>
    <w:rsid w:val="00347D61"/>
    <w:rsid w:val="00350221"/>
    <w:rsid w:val="003535FB"/>
    <w:rsid w:val="003542D3"/>
    <w:rsid w:val="0035487D"/>
    <w:rsid w:val="00355FED"/>
    <w:rsid w:val="003575FD"/>
    <w:rsid w:val="0036054A"/>
    <w:rsid w:val="00361D9E"/>
    <w:rsid w:val="00362EB8"/>
    <w:rsid w:val="003632AA"/>
    <w:rsid w:val="0036536A"/>
    <w:rsid w:val="00367D72"/>
    <w:rsid w:val="00370E32"/>
    <w:rsid w:val="00371589"/>
    <w:rsid w:val="003722A6"/>
    <w:rsid w:val="00372927"/>
    <w:rsid w:val="00372CA1"/>
    <w:rsid w:val="00374B07"/>
    <w:rsid w:val="00376045"/>
    <w:rsid w:val="003838D2"/>
    <w:rsid w:val="003841B1"/>
    <w:rsid w:val="0038479B"/>
    <w:rsid w:val="00384817"/>
    <w:rsid w:val="003857C1"/>
    <w:rsid w:val="00390629"/>
    <w:rsid w:val="00391AE5"/>
    <w:rsid w:val="00393E0E"/>
    <w:rsid w:val="00397A17"/>
    <w:rsid w:val="003A25EA"/>
    <w:rsid w:val="003A35B2"/>
    <w:rsid w:val="003A3B31"/>
    <w:rsid w:val="003A492B"/>
    <w:rsid w:val="003A5806"/>
    <w:rsid w:val="003B32BE"/>
    <w:rsid w:val="003B4493"/>
    <w:rsid w:val="003B4901"/>
    <w:rsid w:val="003B5415"/>
    <w:rsid w:val="003B57B6"/>
    <w:rsid w:val="003B6F6E"/>
    <w:rsid w:val="003B7836"/>
    <w:rsid w:val="003C0BD3"/>
    <w:rsid w:val="003C1A7C"/>
    <w:rsid w:val="003C1F61"/>
    <w:rsid w:val="003C2885"/>
    <w:rsid w:val="003C2911"/>
    <w:rsid w:val="003C4799"/>
    <w:rsid w:val="003C4847"/>
    <w:rsid w:val="003C4FFB"/>
    <w:rsid w:val="003C71A6"/>
    <w:rsid w:val="003D0001"/>
    <w:rsid w:val="003D010F"/>
    <w:rsid w:val="003D0DA2"/>
    <w:rsid w:val="003D1045"/>
    <w:rsid w:val="003D12C4"/>
    <w:rsid w:val="003D189E"/>
    <w:rsid w:val="003D2A3B"/>
    <w:rsid w:val="003D50AD"/>
    <w:rsid w:val="003D56F8"/>
    <w:rsid w:val="003D7D34"/>
    <w:rsid w:val="003D7EB8"/>
    <w:rsid w:val="003E0C10"/>
    <w:rsid w:val="003E2122"/>
    <w:rsid w:val="003E2D7B"/>
    <w:rsid w:val="003E714C"/>
    <w:rsid w:val="003F141E"/>
    <w:rsid w:val="003F2556"/>
    <w:rsid w:val="003F32C2"/>
    <w:rsid w:val="003F38DE"/>
    <w:rsid w:val="003F4D0D"/>
    <w:rsid w:val="003F5940"/>
    <w:rsid w:val="003F5D62"/>
    <w:rsid w:val="003F5F0A"/>
    <w:rsid w:val="003F71E9"/>
    <w:rsid w:val="003F72EF"/>
    <w:rsid w:val="00401F2F"/>
    <w:rsid w:val="00401F95"/>
    <w:rsid w:val="00403358"/>
    <w:rsid w:val="0040362F"/>
    <w:rsid w:val="00403690"/>
    <w:rsid w:val="00403AA4"/>
    <w:rsid w:val="00404186"/>
    <w:rsid w:val="0040459D"/>
    <w:rsid w:val="00404FA5"/>
    <w:rsid w:val="00406495"/>
    <w:rsid w:val="00406CF0"/>
    <w:rsid w:val="00407B84"/>
    <w:rsid w:val="00410BCB"/>
    <w:rsid w:val="004119BA"/>
    <w:rsid w:val="00414278"/>
    <w:rsid w:val="004142DA"/>
    <w:rsid w:val="00414A2F"/>
    <w:rsid w:val="00415438"/>
    <w:rsid w:val="00415C45"/>
    <w:rsid w:val="00416D26"/>
    <w:rsid w:val="00420F46"/>
    <w:rsid w:val="0042121E"/>
    <w:rsid w:val="0042191A"/>
    <w:rsid w:val="0042223C"/>
    <w:rsid w:val="004235E9"/>
    <w:rsid w:val="00424591"/>
    <w:rsid w:val="00424808"/>
    <w:rsid w:val="0042543E"/>
    <w:rsid w:val="00426033"/>
    <w:rsid w:val="00426572"/>
    <w:rsid w:val="004300CC"/>
    <w:rsid w:val="0043057F"/>
    <w:rsid w:val="00430C35"/>
    <w:rsid w:val="00431A35"/>
    <w:rsid w:val="004320AA"/>
    <w:rsid w:val="0043262E"/>
    <w:rsid w:val="004337F2"/>
    <w:rsid w:val="00433FD4"/>
    <w:rsid w:val="0043476A"/>
    <w:rsid w:val="0043553F"/>
    <w:rsid w:val="00435C34"/>
    <w:rsid w:val="0044026C"/>
    <w:rsid w:val="00440DCF"/>
    <w:rsid w:val="00441609"/>
    <w:rsid w:val="00441F18"/>
    <w:rsid w:val="0044215C"/>
    <w:rsid w:val="004438CC"/>
    <w:rsid w:val="0044504F"/>
    <w:rsid w:val="004456C0"/>
    <w:rsid w:val="0045098B"/>
    <w:rsid w:val="00451333"/>
    <w:rsid w:val="0045222D"/>
    <w:rsid w:val="00452976"/>
    <w:rsid w:val="0045356A"/>
    <w:rsid w:val="0045391A"/>
    <w:rsid w:val="004568ED"/>
    <w:rsid w:val="00460B22"/>
    <w:rsid w:val="00463BA1"/>
    <w:rsid w:val="0046408A"/>
    <w:rsid w:val="00465295"/>
    <w:rsid w:val="00466B1B"/>
    <w:rsid w:val="00470039"/>
    <w:rsid w:val="00470246"/>
    <w:rsid w:val="004709F3"/>
    <w:rsid w:val="004710A0"/>
    <w:rsid w:val="00471F3F"/>
    <w:rsid w:val="0047684B"/>
    <w:rsid w:val="00477662"/>
    <w:rsid w:val="00482F85"/>
    <w:rsid w:val="004836B2"/>
    <w:rsid w:val="00485244"/>
    <w:rsid w:val="00485D86"/>
    <w:rsid w:val="0049001F"/>
    <w:rsid w:val="0049049D"/>
    <w:rsid w:val="00491097"/>
    <w:rsid w:val="00493BA6"/>
    <w:rsid w:val="00494E4D"/>
    <w:rsid w:val="00495066"/>
    <w:rsid w:val="00496924"/>
    <w:rsid w:val="00497092"/>
    <w:rsid w:val="00497E14"/>
    <w:rsid w:val="004A0F89"/>
    <w:rsid w:val="004A1B95"/>
    <w:rsid w:val="004A1D67"/>
    <w:rsid w:val="004A598B"/>
    <w:rsid w:val="004A5CC4"/>
    <w:rsid w:val="004A7DA7"/>
    <w:rsid w:val="004B024B"/>
    <w:rsid w:val="004B047E"/>
    <w:rsid w:val="004B1050"/>
    <w:rsid w:val="004B20C3"/>
    <w:rsid w:val="004B2601"/>
    <w:rsid w:val="004B3BD0"/>
    <w:rsid w:val="004B4253"/>
    <w:rsid w:val="004B47E0"/>
    <w:rsid w:val="004B65E1"/>
    <w:rsid w:val="004B6F5D"/>
    <w:rsid w:val="004B7085"/>
    <w:rsid w:val="004B7247"/>
    <w:rsid w:val="004B7A7D"/>
    <w:rsid w:val="004C15E3"/>
    <w:rsid w:val="004C2425"/>
    <w:rsid w:val="004C2515"/>
    <w:rsid w:val="004C2B27"/>
    <w:rsid w:val="004C4098"/>
    <w:rsid w:val="004C51D8"/>
    <w:rsid w:val="004C6F3E"/>
    <w:rsid w:val="004C7257"/>
    <w:rsid w:val="004D0B2F"/>
    <w:rsid w:val="004D13C7"/>
    <w:rsid w:val="004D1744"/>
    <w:rsid w:val="004D2B12"/>
    <w:rsid w:val="004D79AF"/>
    <w:rsid w:val="004E04D2"/>
    <w:rsid w:val="004E055C"/>
    <w:rsid w:val="004E0D75"/>
    <w:rsid w:val="004E2188"/>
    <w:rsid w:val="004E2C2A"/>
    <w:rsid w:val="004E4B6E"/>
    <w:rsid w:val="004E4D7F"/>
    <w:rsid w:val="004E7D60"/>
    <w:rsid w:val="004F0E43"/>
    <w:rsid w:val="004F2404"/>
    <w:rsid w:val="004F28A0"/>
    <w:rsid w:val="004F45D0"/>
    <w:rsid w:val="004F56D9"/>
    <w:rsid w:val="004F73FB"/>
    <w:rsid w:val="004F78C7"/>
    <w:rsid w:val="004F7D10"/>
    <w:rsid w:val="00500976"/>
    <w:rsid w:val="0050106A"/>
    <w:rsid w:val="00501B2C"/>
    <w:rsid w:val="00501F86"/>
    <w:rsid w:val="00502E54"/>
    <w:rsid w:val="00503DE4"/>
    <w:rsid w:val="00504675"/>
    <w:rsid w:val="00505FF4"/>
    <w:rsid w:val="00506293"/>
    <w:rsid w:val="00506683"/>
    <w:rsid w:val="0050742B"/>
    <w:rsid w:val="00507AE8"/>
    <w:rsid w:val="00507C0F"/>
    <w:rsid w:val="00507D1D"/>
    <w:rsid w:val="005106B7"/>
    <w:rsid w:val="00512086"/>
    <w:rsid w:val="005122E2"/>
    <w:rsid w:val="005149CE"/>
    <w:rsid w:val="00514C0B"/>
    <w:rsid w:val="0051758C"/>
    <w:rsid w:val="00517903"/>
    <w:rsid w:val="005179D1"/>
    <w:rsid w:val="005208CF"/>
    <w:rsid w:val="005209C6"/>
    <w:rsid w:val="00520F3A"/>
    <w:rsid w:val="0052252D"/>
    <w:rsid w:val="0052461D"/>
    <w:rsid w:val="00524A84"/>
    <w:rsid w:val="0052590A"/>
    <w:rsid w:val="005277FD"/>
    <w:rsid w:val="00527AF4"/>
    <w:rsid w:val="00527B50"/>
    <w:rsid w:val="00527EBC"/>
    <w:rsid w:val="0053069D"/>
    <w:rsid w:val="00530752"/>
    <w:rsid w:val="0053255A"/>
    <w:rsid w:val="0053349B"/>
    <w:rsid w:val="00534045"/>
    <w:rsid w:val="005340B2"/>
    <w:rsid w:val="00534476"/>
    <w:rsid w:val="0053476E"/>
    <w:rsid w:val="00534A56"/>
    <w:rsid w:val="005354AB"/>
    <w:rsid w:val="00535DD7"/>
    <w:rsid w:val="00536CF6"/>
    <w:rsid w:val="00537D05"/>
    <w:rsid w:val="005403EC"/>
    <w:rsid w:val="005412DE"/>
    <w:rsid w:val="0054226C"/>
    <w:rsid w:val="005422F5"/>
    <w:rsid w:val="005425CA"/>
    <w:rsid w:val="00543291"/>
    <w:rsid w:val="00543879"/>
    <w:rsid w:val="005438F2"/>
    <w:rsid w:val="00543D7B"/>
    <w:rsid w:val="0054599F"/>
    <w:rsid w:val="00547DD7"/>
    <w:rsid w:val="0055193D"/>
    <w:rsid w:val="00551F23"/>
    <w:rsid w:val="00552907"/>
    <w:rsid w:val="00552E33"/>
    <w:rsid w:val="0055504C"/>
    <w:rsid w:val="00556709"/>
    <w:rsid w:val="00557CC3"/>
    <w:rsid w:val="005612ED"/>
    <w:rsid w:val="0056136F"/>
    <w:rsid w:val="005613BA"/>
    <w:rsid w:val="00561A05"/>
    <w:rsid w:val="00562016"/>
    <w:rsid w:val="00565495"/>
    <w:rsid w:val="00565660"/>
    <w:rsid w:val="005658FF"/>
    <w:rsid w:val="00567F6C"/>
    <w:rsid w:val="00570910"/>
    <w:rsid w:val="00571399"/>
    <w:rsid w:val="0057144F"/>
    <w:rsid w:val="005720D6"/>
    <w:rsid w:val="0057311B"/>
    <w:rsid w:val="00573582"/>
    <w:rsid w:val="00574829"/>
    <w:rsid w:val="0057587B"/>
    <w:rsid w:val="00577DA3"/>
    <w:rsid w:val="00577FEA"/>
    <w:rsid w:val="00581566"/>
    <w:rsid w:val="005821D2"/>
    <w:rsid w:val="005832EF"/>
    <w:rsid w:val="00583F2E"/>
    <w:rsid w:val="00584790"/>
    <w:rsid w:val="00584951"/>
    <w:rsid w:val="00585F5D"/>
    <w:rsid w:val="00586DB4"/>
    <w:rsid w:val="005904D2"/>
    <w:rsid w:val="00591C48"/>
    <w:rsid w:val="00592A6C"/>
    <w:rsid w:val="00593705"/>
    <w:rsid w:val="005952C9"/>
    <w:rsid w:val="005952CF"/>
    <w:rsid w:val="005961EB"/>
    <w:rsid w:val="00596853"/>
    <w:rsid w:val="005A1BF9"/>
    <w:rsid w:val="005A2701"/>
    <w:rsid w:val="005A3687"/>
    <w:rsid w:val="005A4112"/>
    <w:rsid w:val="005A5407"/>
    <w:rsid w:val="005A6227"/>
    <w:rsid w:val="005A6F5C"/>
    <w:rsid w:val="005B0F76"/>
    <w:rsid w:val="005B1983"/>
    <w:rsid w:val="005B2B07"/>
    <w:rsid w:val="005B3957"/>
    <w:rsid w:val="005C0A58"/>
    <w:rsid w:val="005C16EE"/>
    <w:rsid w:val="005C28B0"/>
    <w:rsid w:val="005C4368"/>
    <w:rsid w:val="005C6238"/>
    <w:rsid w:val="005C6B1F"/>
    <w:rsid w:val="005C6C17"/>
    <w:rsid w:val="005D0D4E"/>
    <w:rsid w:val="005D20F1"/>
    <w:rsid w:val="005D382B"/>
    <w:rsid w:val="005D4749"/>
    <w:rsid w:val="005D4B42"/>
    <w:rsid w:val="005D55D3"/>
    <w:rsid w:val="005D6664"/>
    <w:rsid w:val="005D683A"/>
    <w:rsid w:val="005D7B3A"/>
    <w:rsid w:val="005E067F"/>
    <w:rsid w:val="005E0E2C"/>
    <w:rsid w:val="005E181E"/>
    <w:rsid w:val="005E3196"/>
    <w:rsid w:val="005E43EA"/>
    <w:rsid w:val="005E4777"/>
    <w:rsid w:val="005E558B"/>
    <w:rsid w:val="005E67AB"/>
    <w:rsid w:val="005E6F6D"/>
    <w:rsid w:val="005E72A2"/>
    <w:rsid w:val="005F1F88"/>
    <w:rsid w:val="005F2B54"/>
    <w:rsid w:val="005F2FD9"/>
    <w:rsid w:val="005F37AB"/>
    <w:rsid w:val="005F45C0"/>
    <w:rsid w:val="005F4D30"/>
    <w:rsid w:val="005F5DE7"/>
    <w:rsid w:val="005F637F"/>
    <w:rsid w:val="005F6FDD"/>
    <w:rsid w:val="00600274"/>
    <w:rsid w:val="00600903"/>
    <w:rsid w:val="006032AA"/>
    <w:rsid w:val="00603DCD"/>
    <w:rsid w:val="006040B5"/>
    <w:rsid w:val="006065B4"/>
    <w:rsid w:val="0061020D"/>
    <w:rsid w:val="00612057"/>
    <w:rsid w:val="006144F9"/>
    <w:rsid w:val="00622DDA"/>
    <w:rsid w:val="006234BD"/>
    <w:rsid w:val="00624763"/>
    <w:rsid w:val="00624A08"/>
    <w:rsid w:val="00625CC2"/>
    <w:rsid w:val="00626A9C"/>
    <w:rsid w:val="00627F5A"/>
    <w:rsid w:val="00636145"/>
    <w:rsid w:val="006367AA"/>
    <w:rsid w:val="00636855"/>
    <w:rsid w:val="00636F31"/>
    <w:rsid w:val="00637190"/>
    <w:rsid w:val="006377E6"/>
    <w:rsid w:val="00640114"/>
    <w:rsid w:val="00641286"/>
    <w:rsid w:val="0064156A"/>
    <w:rsid w:val="006416DE"/>
    <w:rsid w:val="00641726"/>
    <w:rsid w:val="006424C1"/>
    <w:rsid w:val="00643B30"/>
    <w:rsid w:val="00643FC5"/>
    <w:rsid w:val="006441F0"/>
    <w:rsid w:val="0064450C"/>
    <w:rsid w:val="00646A8C"/>
    <w:rsid w:val="006473A3"/>
    <w:rsid w:val="0065062A"/>
    <w:rsid w:val="00651358"/>
    <w:rsid w:val="006523C5"/>
    <w:rsid w:val="006524E1"/>
    <w:rsid w:val="0065261B"/>
    <w:rsid w:val="00652B2F"/>
    <w:rsid w:val="00653DBA"/>
    <w:rsid w:val="00656084"/>
    <w:rsid w:val="00656838"/>
    <w:rsid w:val="00661BA7"/>
    <w:rsid w:val="00661C7D"/>
    <w:rsid w:val="006631F7"/>
    <w:rsid w:val="00663DF9"/>
    <w:rsid w:val="00664F74"/>
    <w:rsid w:val="006665C9"/>
    <w:rsid w:val="00666F22"/>
    <w:rsid w:val="00667CEE"/>
    <w:rsid w:val="00667D8A"/>
    <w:rsid w:val="00672142"/>
    <w:rsid w:val="006725D1"/>
    <w:rsid w:val="00672B45"/>
    <w:rsid w:val="00672DAD"/>
    <w:rsid w:val="00673242"/>
    <w:rsid w:val="00674534"/>
    <w:rsid w:val="00674943"/>
    <w:rsid w:val="0067716F"/>
    <w:rsid w:val="00677580"/>
    <w:rsid w:val="006803B4"/>
    <w:rsid w:val="006830A4"/>
    <w:rsid w:val="0068320F"/>
    <w:rsid w:val="006837F9"/>
    <w:rsid w:val="0068569F"/>
    <w:rsid w:val="00690946"/>
    <w:rsid w:val="006909FB"/>
    <w:rsid w:val="00694836"/>
    <w:rsid w:val="006960B5"/>
    <w:rsid w:val="006A0779"/>
    <w:rsid w:val="006A1476"/>
    <w:rsid w:val="006A156F"/>
    <w:rsid w:val="006A2BFE"/>
    <w:rsid w:val="006A3422"/>
    <w:rsid w:val="006A34B2"/>
    <w:rsid w:val="006A4A9A"/>
    <w:rsid w:val="006A68CD"/>
    <w:rsid w:val="006A710D"/>
    <w:rsid w:val="006A7C0D"/>
    <w:rsid w:val="006B2198"/>
    <w:rsid w:val="006B22C7"/>
    <w:rsid w:val="006B2693"/>
    <w:rsid w:val="006B6BFC"/>
    <w:rsid w:val="006B71E0"/>
    <w:rsid w:val="006B7454"/>
    <w:rsid w:val="006C2E7A"/>
    <w:rsid w:val="006C5DAE"/>
    <w:rsid w:val="006C60EB"/>
    <w:rsid w:val="006C69A2"/>
    <w:rsid w:val="006C6C68"/>
    <w:rsid w:val="006C72D9"/>
    <w:rsid w:val="006D0492"/>
    <w:rsid w:val="006D2F43"/>
    <w:rsid w:val="006D353E"/>
    <w:rsid w:val="006D4E4A"/>
    <w:rsid w:val="006D5142"/>
    <w:rsid w:val="006D55D1"/>
    <w:rsid w:val="006D5D70"/>
    <w:rsid w:val="006D6474"/>
    <w:rsid w:val="006D7908"/>
    <w:rsid w:val="006D7CCD"/>
    <w:rsid w:val="006E07DC"/>
    <w:rsid w:val="006E08CE"/>
    <w:rsid w:val="006E1067"/>
    <w:rsid w:val="006E37A2"/>
    <w:rsid w:val="006E4403"/>
    <w:rsid w:val="006E558A"/>
    <w:rsid w:val="006E55B9"/>
    <w:rsid w:val="006E6E8A"/>
    <w:rsid w:val="006F09C5"/>
    <w:rsid w:val="006F17D3"/>
    <w:rsid w:val="006F33DC"/>
    <w:rsid w:val="006F4159"/>
    <w:rsid w:val="006F4CC7"/>
    <w:rsid w:val="006F6516"/>
    <w:rsid w:val="006F6A5F"/>
    <w:rsid w:val="006F7C16"/>
    <w:rsid w:val="00700697"/>
    <w:rsid w:val="00701785"/>
    <w:rsid w:val="00701EA7"/>
    <w:rsid w:val="00703C20"/>
    <w:rsid w:val="00704BA2"/>
    <w:rsid w:val="00706F9E"/>
    <w:rsid w:val="007129FB"/>
    <w:rsid w:val="00714408"/>
    <w:rsid w:val="00715103"/>
    <w:rsid w:val="0071678A"/>
    <w:rsid w:val="00717746"/>
    <w:rsid w:val="0072030C"/>
    <w:rsid w:val="007203B0"/>
    <w:rsid w:val="00720C3E"/>
    <w:rsid w:val="00721591"/>
    <w:rsid w:val="00721A3D"/>
    <w:rsid w:val="00721A9E"/>
    <w:rsid w:val="00721ECE"/>
    <w:rsid w:val="00721F09"/>
    <w:rsid w:val="00723C87"/>
    <w:rsid w:val="0072421E"/>
    <w:rsid w:val="0072437B"/>
    <w:rsid w:val="007263D8"/>
    <w:rsid w:val="00730EB1"/>
    <w:rsid w:val="00733641"/>
    <w:rsid w:val="00735269"/>
    <w:rsid w:val="007360C3"/>
    <w:rsid w:val="007363B0"/>
    <w:rsid w:val="00737EC0"/>
    <w:rsid w:val="007429B5"/>
    <w:rsid w:val="00743DA4"/>
    <w:rsid w:val="00744885"/>
    <w:rsid w:val="007450D0"/>
    <w:rsid w:val="007508C3"/>
    <w:rsid w:val="007516DB"/>
    <w:rsid w:val="0075306C"/>
    <w:rsid w:val="007544A7"/>
    <w:rsid w:val="00754D75"/>
    <w:rsid w:val="00755254"/>
    <w:rsid w:val="00755FA3"/>
    <w:rsid w:val="00756605"/>
    <w:rsid w:val="007567A4"/>
    <w:rsid w:val="00762C03"/>
    <w:rsid w:val="00763D52"/>
    <w:rsid w:val="00764232"/>
    <w:rsid w:val="00764D32"/>
    <w:rsid w:val="00767281"/>
    <w:rsid w:val="0077026A"/>
    <w:rsid w:val="00770C77"/>
    <w:rsid w:val="00771CAE"/>
    <w:rsid w:val="00772150"/>
    <w:rsid w:val="0077243F"/>
    <w:rsid w:val="00773685"/>
    <w:rsid w:val="00773BEC"/>
    <w:rsid w:val="007740E0"/>
    <w:rsid w:val="007758C7"/>
    <w:rsid w:val="007761BD"/>
    <w:rsid w:val="0077721D"/>
    <w:rsid w:val="00780E88"/>
    <w:rsid w:val="00782E71"/>
    <w:rsid w:val="007830E1"/>
    <w:rsid w:val="00783183"/>
    <w:rsid w:val="00785D84"/>
    <w:rsid w:val="00786D6F"/>
    <w:rsid w:val="00791ACA"/>
    <w:rsid w:val="0079218E"/>
    <w:rsid w:val="007929CB"/>
    <w:rsid w:val="00792EAD"/>
    <w:rsid w:val="007935C9"/>
    <w:rsid w:val="00794387"/>
    <w:rsid w:val="00794F32"/>
    <w:rsid w:val="00795478"/>
    <w:rsid w:val="00795F7E"/>
    <w:rsid w:val="007960BD"/>
    <w:rsid w:val="007960F7"/>
    <w:rsid w:val="00797109"/>
    <w:rsid w:val="00797A77"/>
    <w:rsid w:val="007A012C"/>
    <w:rsid w:val="007A2280"/>
    <w:rsid w:val="007A2A37"/>
    <w:rsid w:val="007A3463"/>
    <w:rsid w:val="007A354C"/>
    <w:rsid w:val="007A3708"/>
    <w:rsid w:val="007A384E"/>
    <w:rsid w:val="007A38D9"/>
    <w:rsid w:val="007A4FA6"/>
    <w:rsid w:val="007A5ECB"/>
    <w:rsid w:val="007A6E35"/>
    <w:rsid w:val="007A7DFF"/>
    <w:rsid w:val="007B0355"/>
    <w:rsid w:val="007B1CC2"/>
    <w:rsid w:val="007B1D54"/>
    <w:rsid w:val="007B247C"/>
    <w:rsid w:val="007B2576"/>
    <w:rsid w:val="007B25FD"/>
    <w:rsid w:val="007B2DCF"/>
    <w:rsid w:val="007B3AB6"/>
    <w:rsid w:val="007B4040"/>
    <w:rsid w:val="007B5E8F"/>
    <w:rsid w:val="007B65D2"/>
    <w:rsid w:val="007B695F"/>
    <w:rsid w:val="007B7AF0"/>
    <w:rsid w:val="007C2C8C"/>
    <w:rsid w:val="007C2E1A"/>
    <w:rsid w:val="007C50EF"/>
    <w:rsid w:val="007C56D7"/>
    <w:rsid w:val="007C64F3"/>
    <w:rsid w:val="007C74E9"/>
    <w:rsid w:val="007D0A53"/>
    <w:rsid w:val="007D2237"/>
    <w:rsid w:val="007D2E33"/>
    <w:rsid w:val="007D3257"/>
    <w:rsid w:val="007D33A9"/>
    <w:rsid w:val="007D38A7"/>
    <w:rsid w:val="007D4D83"/>
    <w:rsid w:val="007D5DA3"/>
    <w:rsid w:val="007D6C92"/>
    <w:rsid w:val="007D7658"/>
    <w:rsid w:val="007D7E7B"/>
    <w:rsid w:val="007E0C26"/>
    <w:rsid w:val="007E222F"/>
    <w:rsid w:val="007E2C1A"/>
    <w:rsid w:val="007F14DD"/>
    <w:rsid w:val="007F2536"/>
    <w:rsid w:val="007F28D2"/>
    <w:rsid w:val="007F4736"/>
    <w:rsid w:val="007F74AC"/>
    <w:rsid w:val="00801416"/>
    <w:rsid w:val="008018E6"/>
    <w:rsid w:val="0080483D"/>
    <w:rsid w:val="008049C5"/>
    <w:rsid w:val="008053E4"/>
    <w:rsid w:val="00805A94"/>
    <w:rsid w:val="00805BB6"/>
    <w:rsid w:val="0080615B"/>
    <w:rsid w:val="008074EC"/>
    <w:rsid w:val="00807A34"/>
    <w:rsid w:val="00812CDD"/>
    <w:rsid w:val="008140E9"/>
    <w:rsid w:val="00816F4D"/>
    <w:rsid w:val="0081717C"/>
    <w:rsid w:val="00817971"/>
    <w:rsid w:val="0082240D"/>
    <w:rsid w:val="00825C97"/>
    <w:rsid w:val="00831FD9"/>
    <w:rsid w:val="00832A42"/>
    <w:rsid w:val="00833158"/>
    <w:rsid w:val="00836B4F"/>
    <w:rsid w:val="00836E16"/>
    <w:rsid w:val="0083707B"/>
    <w:rsid w:val="00837157"/>
    <w:rsid w:val="008420EF"/>
    <w:rsid w:val="008438C4"/>
    <w:rsid w:val="00843E3E"/>
    <w:rsid w:val="0084573B"/>
    <w:rsid w:val="00847BC6"/>
    <w:rsid w:val="00847CEE"/>
    <w:rsid w:val="00851CE2"/>
    <w:rsid w:val="00854829"/>
    <w:rsid w:val="0085674E"/>
    <w:rsid w:val="00856F58"/>
    <w:rsid w:val="008577F8"/>
    <w:rsid w:val="00860C72"/>
    <w:rsid w:val="00861520"/>
    <w:rsid w:val="0086384E"/>
    <w:rsid w:val="00864CAF"/>
    <w:rsid w:val="00864DA1"/>
    <w:rsid w:val="0086631C"/>
    <w:rsid w:val="0087018E"/>
    <w:rsid w:val="00870706"/>
    <w:rsid w:val="008731BF"/>
    <w:rsid w:val="00873B15"/>
    <w:rsid w:val="00873B55"/>
    <w:rsid w:val="00875721"/>
    <w:rsid w:val="00876F68"/>
    <w:rsid w:val="00877ACB"/>
    <w:rsid w:val="00880998"/>
    <w:rsid w:val="0088135A"/>
    <w:rsid w:val="00881ED2"/>
    <w:rsid w:val="00884349"/>
    <w:rsid w:val="00885839"/>
    <w:rsid w:val="0088683B"/>
    <w:rsid w:val="00886C47"/>
    <w:rsid w:val="0088737B"/>
    <w:rsid w:val="008878DC"/>
    <w:rsid w:val="00887F2D"/>
    <w:rsid w:val="00890B13"/>
    <w:rsid w:val="00892F40"/>
    <w:rsid w:val="008944A9"/>
    <w:rsid w:val="00894533"/>
    <w:rsid w:val="00895A02"/>
    <w:rsid w:val="00895B09"/>
    <w:rsid w:val="00895C41"/>
    <w:rsid w:val="008963B3"/>
    <w:rsid w:val="00896F40"/>
    <w:rsid w:val="008975D8"/>
    <w:rsid w:val="00897880"/>
    <w:rsid w:val="008979EC"/>
    <w:rsid w:val="00897F37"/>
    <w:rsid w:val="008A0359"/>
    <w:rsid w:val="008A0AFC"/>
    <w:rsid w:val="008A1B69"/>
    <w:rsid w:val="008A22BD"/>
    <w:rsid w:val="008A2929"/>
    <w:rsid w:val="008A3547"/>
    <w:rsid w:val="008A40C1"/>
    <w:rsid w:val="008A4145"/>
    <w:rsid w:val="008A4658"/>
    <w:rsid w:val="008A4A4A"/>
    <w:rsid w:val="008A60B4"/>
    <w:rsid w:val="008A7129"/>
    <w:rsid w:val="008B07A7"/>
    <w:rsid w:val="008B301D"/>
    <w:rsid w:val="008B62D8"/>
    <w:rsid w:val="008B658D"/>
    <w:rsid w:val="008B6DFE"/>
    <w:rsid w:val="008B6E1F"/>
    <w:rsid w:val="008C09B4"/>
    <w:rsid w:val="008C0A5E"/>
    <w:rsid w:val="008C0FC6"/>
    <w:rsid w:val="008C1CFE"/>
    <w:rsid w:val="008C3ADA"/>
    <w:rsid w:val="008C6120"/>
    <w:rsid w:val="008C75BA"/>
    <w:rsid w:val="008D00B1"/>
    <w:rsid w:val="008D037E"/>
    <w:rsid w:val="008D0E5B"/>
    <w:rsid w:val="008D43A4"/>
    <w:rsid w:val="008D4AD6"/>
    <w:rsid w:val="008D556C"/>
    <w:rsid w:val="008D77E2"/>
    <w:rsid w:val="008D7FB9"/>
    <w:rsid w:val="008E10FD"/>
    <w:rsid w:val="008E14A9"/>
    <w:rsid w:val="008E3241"/>
    <w:rsid w:val="008E32A0"/>
    <w:rsid w:val="008E36DE"/>
    <w:rsid w:val="008E3AFF"/>
    <w:rsid w:val="008E4776"/>
    <w:rsid w:val="008E56AC"/>
    <w:rsid w:val="008E57EA"/>
    <w:rsid w:val="008E58CA"/>
    <w:rsid w:val="008E6476"/>
    <w:rsid w:val="008F0302"/>
    <w:rsid w:val="008F097C"/>
    <w:rsid w:val="008F208C"/>
    <w:rsid w:val="008F3350"/>
    <w:rsid w:val="008F3675"/>
    <w:rsid w:val="008F41C6"/>
    <w:rsid w:val="008F5947"/>
    <w:rsid w:val="00901873"/>
    <w:rsid w:val="0090267B"/>
    <w:rsid w:val="00907548"/>
    <w:rsid w:val="00913746"/>
    <w:rsid w:val="00914959"/>
    <w:rsid w:val="00915A30"/>
    <w:rsid w:val="00915FE7"/>
    <w:rsid w:val="00916746"/>
    <w:rsid w:val="009211CA"/>
    <w:rsid w:val="0092121D"/>
    <w:rsid w:val="00921384"/>
    <w:rsid w:val="009219BB"/>
    <w:rsid w:val="009222A7"/>
    <w:rsid w:val="009225BC"/>
    <w:rsid w:val="00922749"/>
    <w:rsid w:val="009238E5"/>
    <w:rsid w:val="00923A7D"/>
    <w:rsid w:val="009244B2"/>
    <w:rsid w:val="00924840"/>
    <w:rsid w:val="00924949"/>
    <w:rsid w:val="00924CA9"/>
    <w:rsid w:val="0092572F"/>
    <w:rsid w:val="009265B0"/>
    <w:rsid w:val="00926CD8"/>
    <w:rsid w:val="00927200"/>
    <w:rsid w:val="00927AA6"/>
    <w:rsid w:val="00930B97"/>
    <w:rsid w:val="00931B24"/>
    <w:rsid w:val="00932E85"/>
    <w:rsid w:val="00934A23"/>
    <w:rsid w:val="00936273"/>
    <w:rsid w:val="00937616"/>
    <w:rsid w:val="009427C0"/>
    <w:rsid w:val="00942E97"/>
    <w:rsid w:val="00945CF5"/>
    <w:rsid w:val="00945CFC"/>
    <w:rsid w:val="009503B3"/>
    <w:rsid w:val="00951FCA"/>
    <w:rsid w:val="00952DAC"/>
    <w:rsid w:val="0095398D"/>
    <w:rsid w:val="0095570B"/>
    <w:rsid w:val="00956F9E"/>
    <w:rsid w:val="0096133A"/>
    <w:rsid w:val="00961DF6"/>
    <w:rsid w:val="00962E3C"/>
    <w:rsid w:val="00964F89"/>
    <w:rsid w:val="0096525E"/>
    <w:rsid w:val="00967262"/>
    <w:rsid w:val="009705F1"/>
    <w:rsid w:val="009708A1"/>
    <w:rsid w:val="00972011"/>
    <w:rsid w:val="0097245C"/>
    <w:rsid w:val="00973EA2"/>
    <w:rsid w:val="00974EFC"/>
    <w:rsid w:val="00974FEF"/>
    <w:rsid w:val="0097532C"/>
    <w:rsid w:val="00975E36"/>
    <w:rsid w:val="00977B19"/>
    <w:rsid w:val="00977E48"/>
    <w:rsid w:val="009801B5"/>
    <w:rsid w:val="00980FA1"/>
    <w:rsid w:val="0098207E"/>
    <w:rsid w:val="009831B6"/>
    <w:rsid w:val="009832BE"/>
    <w:rsid w:val="009841D9"/>
    <w:rsid w:val="00984AD6"/>
    <w:rsid w:val="00984D6C"/>
    <w:rsid w:val="009871A5"/>
    <w:rsid w:val="009902F8"/>
    <w:rsid w:val="009914E3"/>
    <w:rsid w:val="00994328"/>
    <w:rsid w:val="00996795"/>
    <w:rsid w:val="009A08E2"/>
    <w:rsid w:val="009A171F"/>
    <w:rsid w:val="009A172A"/>
    <w:rsid w:val="009A25AA"/>
    <w:rsid w:val="009A52CC"/>
    <w:rsid w:val="009A6FAD"/>
    <w:rsid w:val="009A7F69"/>
    <w:rsid w:val="009B1351"/>
    <w:rsid w:val="009B1C7D"/>
    <w:rsid w:val="009B6D8A"/>
    <w:rsid w:val="009C070C"/>
    <w:rsid w:val="009C07E1"/>
    <w:rsid w:val="009C0F7F"/>
    <w:rsid w:val="009C16DA"/>
    <w:rsid w:val="009C5A74"/>
    <w:rsid w:val="009C6112"/>
    <w:rsid w:val="009C6932"/>
    <w:rsid w:val="009C6A76"/>
    <w:rsid w:val="009C6E57"/>
    <w:rsid w:val="009D0F1D"/>
    <w:rsid w:val="009D11FD"/>
    <w:rsid w:val="009D1F85"/>
    <w:rsid w:val="009D2213"/>
    <w:rsid w:val="009D3239"/>
    <w:rsid w:val="009D40A1"/>
    <w:rsid w:val="009D4F96"/>
    <w:rsid w:val="009D5175"/>
    <w:rsid w:val="009D5325"/>
    <w:rsid w:val="009D5CF5"/>
    <w:rsid w:val="009D65A1"/>
    <w:rsid w:val="009D67CF"/>
    <w:rsid w:val="009E026C"/>
    <w:rsid w:val="009E11B9"/>
    <w:rsid w:val="009E166E"/>
    <w:rsid w:val="009E2575"/>
    <w:rsid w:val="009E39B0"/>
    <w:rsid w:val="009E47A7"/>
    <w:rsid w:val="009E68B7"/>
    <w:rsid w:val="009E7B2A"/>
    <w:rsid w:val="009F0BC8"/>
    <w:rsid w:val="009F2A6F"/>
    <w:rsid w:val="009F36EF"/>
    <w:rsid w:val="009F3709"/>
    <w:rsid w:val="009F41CD"/>
    <w:rsid w:val="009F505C"/>
    <w:rsid w:val="009F5824"/>
    <w:rsid w:val="009F5CE4"/>
    <w:rsid w:val="009F66E4"/>
    <w:rsid w:val="009F7006"/>
    <w:rsid w:val="009F76F1"/>
    <w:rsid w:val="009F78F3"/>
    <w:rsid w:val="00A00680"/>
    <w:rsid w:val="00A02B79"/>
    <w:rsid w:val="00A02E39"/>
    <w:rsid w:val="00A03C02"/>
    <w:rsid w:val="00A0628D"/>
    <w:rsid w:val="00A07495"/>
    <w:rsid w:val="00A078B5"/>
    <w:rsid w:val="00A10801"/>
    <w:rsid w:val="00A108DA"/>
    <w:rsid w:val="00A12B31"/>
    <w:rsid w:val="00A12DC9"/>
    <w:rsid w:val="00A12F52"/>
    <w:rsid w:val="00A13F25"/>
    <w:rsid w:val="00A13F79"/>
    <w:rsid w:val="00A14C58"/>
    <w:rsid w:val="00A17575"/>
    <w:rsid w:val="00A179F2"/>
    <w:rsid w:val="00A209CF"/>
    <w:rsid w:val="00A229CE"/>
    <w:rsid w:val="00A22C21"/>
    <w:rsid w:val="00A23387"/>
    <w:rsid w:val="00A23609"/>
    <w:rsid w:val="00A243E0"/>
    <w:rsid w:val="00A25418"/>
    <w:rsid w:val="00A26EC0"/>
    <w:rsid w:val="00A272AC"/>
    <w:rsid w:val="00A27B44"/>
    <w:rsid w:val="00A3105E"/>
    <w:rsid w:val="00A31510"/>
    <w:rsid w:val="00A32F80"/>
    <w:rsid w:val="00A333CF"/>
    <w:rsid w:val="00A34E1A"/>
    <w:rsid w:val="00A377E4"/>
    <w:rsid w:val="00A413B1"/>
    <w:rsid w:val="00A421A5"/>
    <w:rsid w:val="00A422DE"/>
    <w:rsid w:val="00A422FC"/>
    <w:rsid w:val="00A42BB6"/>
    <w:rsid w:val="00A43076"/>
    <w:rsid w:val="00A4454E"/>
    <w:rsid w:val="00A4476C"/>
    <w:rsid w:val="00A455B0"/>
    <w:rsid w:val="00A45B26"/>
    <w:rsid w:val="00A45DCA"/>
    <w:rsid w:val="00A45DDA"/>
    <w:rsid w:val="00A46148"/>
    <w:rsid w:val="00A462AA"/>
    <w:rsid w:val="00A47A17"/>
    <w:rsid w:val="00A50499"/>
    <w:rsid w:val="00A506A9"/>
    <w:rsid w:val="00A5180A"/>
    <w:rsid w:val="00A535F0"/>
    <w:rsid w:val="00A60F07"/>
    <w:rsid w:val="00A63088"/>
    <w:rsid w:val="00A6485B"/>
    <w:rsid w:val="00A64FA4"/>
    <w:rsid w:val="00A655AA"/>
    <w:rsid w:val="00A704E2"/>
    <w:rsid w:val="00A70816"/>
    <w:rsid w:val="00A72081"/>
    <w:rsid w:val="00A72539"/>
    <w:rsid w:val="00A73032"/>
    <w:rsid w:val="00A7381B"/>
    <w:rsid w:val="00A7511D"/>
    <w:rsid w:val="00A757EF"/>
    <w:rsid w:val="00A8031B"/>
    <w:rsid w:val="00A80B71"/>
    <w:rsid w:val="00A81845"/>
    <w:rsid w:val="00A81945"/>
    <w:rsid w:val="00A82CFE"/>
    <w:rsid w:val="00A83D97"/>
    <w:rsid w:val="00A85F5A"/>
    <w:rsid w:val="00A862B3"/>
    <w:rsid w:val="00A86C15"/>
    <w:rsid w:val="00A90EAC"/>
    <w:rsid w:val="00A92735"/>
    <w:rsid w:val="00A92B26"/>
    <w:rsid w:val="00A930FA"/>
    <w:rsid w:val="00A9361F"/>
    <w:rsid w:val="00A93D1D"/>
    <w:rsid w:val="00A9531B"/>
    <w:rsid w:val="00A959B2"/>
    <w:rsid w:val="00A95F19"/>
    <w:rsid w:val="00AA06F6"/>
    <w:rsid w:val="00AA0853"/>
    <w:rsid w:val="00AA1FB2"/>
    <w:rsid w:val="00AA2876"/>
    <w:rsid w:val="00AA30E6"/>
    <w:rsid w:val="00AA3EB3"/>
    <w:rsid w:val="00AA44C8"/>
    <w:rsid w:val="00AA493C"/>
    <w:rsid w:val="00AA620D"/>
    <w:rsid w:val="00AA7768"/>
    <w:rsid w:val="00AB1953"/>
    <w:rsid w:val="00AB3427"/>
    <w:rsid w:val="00AB353F"/>
    <w:rsid w:val="00AB43DD"/>
    <w:rsid w:val="00AB6ACD"/>
    <w:rsid w:val="00AB73F9"/>
    <w:rsid w:val="00AC065E"/>
    <w:rsid w:val="00AC069D"/>
    <w:rsid w:val="00AC1246"/>
    <w:rsid w:val="00AC127B"/>
    <w:rsid w:val="00AC1C85"/>
    <w:rsid w:val="00AC2184"/>
    <w:rsid w:val="00AC2449"/>
    <w:rsid w:val="00AC2EDE"/>
    <w:rsid w:val="00AC3F4F"/>
    <w:rsid w:val="00AC3F84"/>
    <w:rsid w:val="00AC4107"/>
    <w:rsid w:val="00AC463C"/>
    <w:rsid w:val="00AC494E"/>
    <w:rsid w:val="00AC65F5"/>
    <w:rsid w:val="00AD0273"/>
    <w:rsid w:val="00AD1045"/>
    <w:rsid w:val="00AD1619"/>
    <w:rsid w:val="00AD3BB2"/>
    <w:rsid w:val="00AD3EC5"/>
    <w:rsid w:val="00AD447E"/>
    <w:rsid w:val="00AD6227"/>
    <w:rsid w:val="00AD774D"/>
    <w:rsid w:val="00AE0872"/>
    <w:rsid w:val="00AE1191"/>
    <w:rsid w:val="00AE1F35"/>
    <w:rsid w:val="00AE1F80"/>
    <w:rsid w:val="00AE23BC"/>
    <w:rsid w:val="00AE398E"/>
    <w:rsid w:val="00AE496F"/>
    <w:rsid w:val="00AE4B99"/>
    <w:rsid w:val="00AE68E5"/>
    <w:rsid w:val="00AF0E2B"/>
    <w:rsid w:val="00AF1175"/>
    <w:rsid w:val="00AF11F2"/>
    <w:rsid w:val="00AF3294"/>
    <w:rsid w:val="00AF33ED"/>
    <w:rsid w:val="00AF3E10"/>
    <w:rsid w:val="00AF3FEB"/>
    <w:rsid w:val="00AF4EE1"/>
    <w:rsid w:val="00AF65BB"/>
    <w:rsid w:val="00B00FD7"/>
    <w:rsid w:val="00B019AC"/>
    <w:rsid w:val="00B01BA7"/>
    <w:rsid w:val="00B03521"/>
    <w:rsid w:val="00B04B95"/>
    <w:rsid w:val="00B05567"/>
    <w:rsid w:val="00B0575A"/>
    <w:rsid w:val="00B067FA"/>
    <w:rsid w:val="00B11464"/>
    <w:rsid w:val="00B135F3"/>
    <w:rsid w:val="00B13BFC"/>
    <w:rsid w:val="00B159EA"/>
    <w:rsid w:val="00B16324"/>
    <w:rsid w:val="00B16A10"/>
    <w:rsid w:val="00B203A0"/>
    <w:rsid w:val="00B208C2"/>
    <w:rsid w:val="00B209E2"/>
    <w:rsid w:val="00B20C89"/>
    <w:rsid w:val="00B20FB6"/>
    <w:rsid w:val="00B21A33"/>
    <w:rsid w:val="00B21C3A"/>
    <w:rsid w:val="00B2258F"/>
    <w:rsid w:val="00B2416B"/>
    <w:rsid w:val="00B24FE4"/>
    <w:rsid w:val="00B251CB"/>
    <w:rsid w:val="00B277F3"/>
    <w:rsid w:val="00B30872"/>
    <w:rsid w:val="00B31AF1"/>
    <w:rsid w:val="00B344A1"/>
    <w:rsid w:val="00B35006"/>
    <w:rsid w:val="00B35B1F"/>
    <w:rsid w:val="00B36BC1"/>
    <w:rsid w:val="00B37EA8"/>
    <w:rsid w:val="00B41341"/>
    <w:rsid w:val="00B413C7"/>
    <w:rsid w:val="00B41DD9"/>
    <w:rsid w:val="00B4231D"/>
    <w:rsid w:val="00B440E3"/>
    <w:rsid w:val="00B45800"/>
    <w:rsid w:val="00B45DDC"/>
    <w:rsid w:val="00B46E35"/>
    <w:rsid w:val="00B46F10"/>
    <w:rsid w:val="00B500C0"/>
    <w:rsid w:val="00B501C0"/>
    <w:rsid w:val="00B503D4"/>
    <w:rsid w:val="00B50E6E"/>
    <w:rsid w:val="00B52193"/>
    <w:rsid w:val="00B54BC7"/>
    <w:rsid w:val="00B56112"/>
    <w:rsid w:val="00B56498"/>
    <w:rsid w:val="00B5676F"/>
    <w:rsid w:val="00B56ECC"/>
    <w:rsid w:val="00B5778C"/>
    <w:rsid w:val="00B57BEB"/>
    <w:rsid w:val="00B60B20"/>
    <w:rsid w:val="00B63D55"/>
    <w:rsid w:val="00B6591C"/>
    <w:rsid w:val="00B669FC"/>
    <w:rsid w:val="00B67353"/>
    <w:rsid w:val="00B70627"/>
    <w:rsid w:val="00B70756"/>
    <w:rsid w:val="00B715C3"/>
    <w:rsid w:val="00B71D6E"/>
    <w:rsid w:val="00B73B4A"/>
    <w:rsid w:val="00B750D1"/>
    <w:rsid w:val="00B75C9D"/>
    <w:rsid w:val="00B76DF9"/>
    <w:rsid w:val="00B77B5A"/>
    <w:rsid w:val="00B842E2"/>
    <w:rsid w:val="00B843E3"/>
    <w:rsid w:val="00B8546E"/>
    <w:rsid w:val="00B86B0F"/>
    <w:rsid w:val="00B86C96"/>
    <w:rsid w:val="00B87837"/>
    <w:rsid w:val="00B90231"/>
    <w:rsid w:val="00B9072B"/>
    <w:rsid w:val="00B9139E"/>
    <w:rsid w:val="00B913E8"/>
    <w:rsid w:val="00B919D5"/>
    <w:rsid w:val="00B926D4"/>
    <w:rsid w:val="00B94BBA"/>
    <w:rsid w:val="00B95676"/>
    <w:rsid w:val="00B95D75"/>
    <w:rsid w:val="00B95DF5"/>
    <w:rsid w:val="00B96A80"/>
    <w:rsid w:val="00B96E56"/>
    <w:rsid w:val="00B97C2E"/>
    <w:rsid w:val="00B97C81"/>
    <w:rsid w:val="00BA46B9"/>
    <w:rsid w:val="00BA4869"/>
    <w:rsid w:val="00BB0B6F"/>
    <w:rsid w:val="00BB1748"/>
    <w:rsid w:val="00BB1BD9"/>
    <w:rsid w:val="00BB26E0"/>
    <w:rsid w:val="00BB3E6A"/>
    <w:rsid w:val="00BB528F"/>
    <w:rsid w:val="00BB5C70"/>
    <w:rsid w:val="00BB5E2F"/>
    <w:rsid w:val="00BB7B65"/>
    <w:rsid w:val="00BC0DD6"/>
    <w:rsid w:val="00BC19F5"/>
    <w:rsid w:val="00BC20A7"/>
    <w:rsid w:val="00BC4827"/>
    <w:rsid w:val="00BC5F07"/>
    <w:rsid w:val="00BC5FFF"/>
    <w:rsid w:val="00BC68EA"/>
    <w:rsid w:val="00BC6EF0"/>
    <w:rsid w:val="00BD0BCD"/>
    <w:rsid w:val="00BD32F5"/>
    <w:rsid w:val="00BD3DB0"/>
    <w:rsid w:val="00BD4440"/>
    <w:rsid w:val="00BD54E1"/>
    <w:rsid w:val="00BD6078"/>
    <w:rsid w:val="00BD6B5D"/>
    <w:rsid w:val="00BD72F1"/>
    <w:rsid w:val="00BE0032"/>
    <w:rsid w:val="00BE0A5E"/>
    <w:rsid w:val="00BE1E06"/>
    <w:rsid w:val="00BE1ECE"/>
    <w:rsid w:val="00BE22A8"/>
    <w:rsid w:val="00BE275A"/>
    <w:rsid w:val="00BE2ED5"/>
    <w:rsid w:val="00BE3AED"/>
    <w:rsid w:val="00BE50D9"/>
    <w:rsid w:val="00BE650E"/>
    <w:rsid w:val="00BE7874"/>
    <w:rsid w:val="00BF16A4"/>
    <w:rsid w:val="00BF2BB2"/>
    <w:rsid w:val="00BF3731"/>
    <w:rsid w:val="00BF41DF"/>
    <w:rsid w:val="00BF4930"/>
    <w:rsid w:val="00BF4F47"/>
    <w:rsid w:val="00BF5DEC"/>
    <w:rsid w:val="00BF7641"/>
    <w:rsid w:val="00BF767E"/>
    <w:rsid w:val="00BF7880"/>
    <w:rsid w:val="00C01276"/>
    <w:rsid w:val="00C012EB"/>
    <w:rsid w:val="00C022DD"/>
    <w:rsid w:val="00C045BA"/>
    <w:rsid w:val="00C049AD"/>
    <w:rsid w:val="00C05945"/>
    <w:rsid w:val="00C05D1A"/>
    <w:rsid w:val="00C06038"/>
    <w:rsid w:val="00C06A73"/>
    <w:rsid w:val="00C070D8"/>
    <w:rsid w:val="00C10365"/>
    <w:rsid w:val="00C104D6"/>
    <w:rsid w:val="00C11670"/>
    <w:rsid w:val="00C1315A"/>
    <w:rsid w:val="00C13A9B"/>
    <w:rsid w:val="00C149F5"/>
    <w:rsid w:val="00C14FA8"/>
    <w:rsid w:val="00C150E0"/>
    <w:rsid w:val="00C1669B"/>
    <w:rsid w:val="00C16F52"/>
    <w:rsid w:val="00C176BC"/>
    <w:rsid w:val="00C1791C"/>
    <w:rsid w:val="00C20515"/>
    <w:rsid w:val="00C20671"/>
    <w:rsid w:val="00C221FC"/>
    <w:rsid w:val="00C2224C"/>
    <w:rsid w:val="00C2311F"/>
    <w:rsid w:val="00C23307"/>
    <w:rsid w:val="00C234E1"/>
    <w:rsid w:val="00C24A15"/>
    <w:rsid w:val="00C27773"/>
    <w:rsid w:val="00C30E31"/>
    <w:rsid w:val="00C32366"/>
    <w:rsid w:val="00C33CE0"/>
    <w:rsid w:val="00C34954"/>
    <w:rsid w:val="00C3532A"/>
    <w:rsid w:val="00C35770"/>
    <w:rsid w:val="00C365BE"/>
    <w:rsid w:val="00C36615"/>
    <w:rsid w:val="00C36A4E"/>
    <w:rsid w:val="00C36B42"/>
    <w:rsid w:val="00C41B4F"/>
    <w:rsid w:val="00C41E2B"/>
    <w:rsid w:val="00C436E0"/>
    <w:rsid w:val="00C44395"/>
    <w:rsid w:val="00C45839"/>
    <w:rsid w:val="00C45D46"/>
    <w:rsid w:val="00C46608"/>
    <w:rsid w:val="00C4676B"/>
    <w:rsid w:val="00C501A2"/>
    <w:rsid w:val="00C50462"/>
    <w:rsid w:val="00C513A6"/>
    <w:rsid w:val="00C5177D"/>
    <w:rsid w:val="00C52538"/>
    <w:rsid w:val="00C52C1D"/>
    <w:rsid w:val="00C531BF"/>
    <w:rsid w:val="00C53B44"/>
    <w:rsid w:val="00C54E3A"/>
    <w:rsid w:val="00C60D15"/>
    <w:rsid w:val="00C616BF"/>
    <w:rsid w:val="00C6233E"/>
    <w:rsid w:val="00C631C9"/>
    <w:rsid w:val="00C63DA8"/>
    <w:rsid w:val="00C64FE9"/>
    <w:rsid w:val="00C65DB7"/>
    <w:rsid w:val="00C66A73"/>
    <w:rsid w:val="00C704EF"/>
    <w:rsid w:val="00C706A0"/>
    <w:rsid w:val="00C714AF"/>
    <w:rsid w:val="00C72283"/>
    <w:rsid w:val="00C72C9C"/>
    <w:rsid w:val="00C72F3F"/>
    <w:rsid w:val="00C73443"/>
    <w:rsid w:val="00C73CB1"/>
    <w:rsid w:val="00C759E7"/>
    <w:rsid w:val="00C75D15"/>
    <w:rsid w:val="00C802A5"/>
    <w:rsid w:val="00C80CA7"/>
    <w:rsid w:val="00C815B5"/>
    <w:rsid w:val="00C81D8C"/>
    <w:rsid w:val="00C84311"/>
    <w:rsid w:val="00C851F6"/>
    <w:rsid w:val="00C86095"/>
    <w:rsid w:val="00C86AB9"/>
    <w:rsid w:val="00C877BA"/>
    <w:rsid w:val="00C90846"/>
    <w:rsid w:val="00C90BE1"/>
    <w:rsid w:val="00C938F5"/>
    <w:rsid w:val="00C95432"/>
    <w:rsid w:val="00C963F4"/>
    <w:rsid w:val="00C96D1F"/>
    <w:rsid w:val="00CA37C7"/>
    <w:rsid w:val="00CA4957"/>
    <w:rsid w:val="00CA5EDD"/>
    <w:rsid w:val="00CA67E8"/>
    <w:rsid w:val="00CA697A"/>
    <w:rsid w:val="00CA7761"/>
    <w:rsid w:val="00CB3AD6"/>
    <w:rsid w:val="00CB3FE8"/>
    <w:rsid w:val="00CB48E1"/>
    <w:rsid w:val="00CB4971"/>
    <w:rsid w:val="00CB499A"/>
    <w:rsid w:val="00CB5692"/>
    <w:rsid w:val="00CB5DFA"/>
    <w:rsid w:val="00CB6625"/>
    <w:rsid w:val="00CC0225"/>
    <w:rsid w:val="00CC14B9"/>
    <w:rsid w:val="00CC3A5C"/>
    <w:rsid w:val="00CC5DD9"/>
    <w:rsid w:val="00CC65B2"/>
    <w:rsid w:val="00CC77E2"/>
    <w:rsid w:val="00CD23CE"/>
    <w:rsid w:val="00CD399E"/>
    <w:rsid w:val="00CD5B9A"/>
    <w:rsid w:val="00CD7607"/>
    <w:rsid w:val="00CD7E20"/>
    <w:rsid w:val="00CE023E"/>
    <w:rsid w:val="00CE14AA"/>
    <w:rsid w:val="00CE2041"/>
    <w:rsid w:val="00CE2D41"/>
    <w:rsid w:val="00CE4834"/>
    <w:rsid w:val="00CE61B1"/>
    <w:rsid w:val="00CE65FF"/>
    <w:rsid w:val="00CE7154"/>
    <w:rsid w:val="00CE75D3"/>
    <w:rsid w:val="00CE7689"/>
    <w:rsid w:val="00CE77B6"/>
    <w:rsid w:val="00CE7982"/>
    <w:rsid w:val="00CE7EE1"/>
    <w:rsid w:val="00CF00C0"/>
    <w:rsid w:val="00CF0BA3"/>
    <w:rsid w:val="00CF115F"/>
    <w:rsid w:val="00CF17F9"/>
    <w:rsid w:val="00CF2925"/>
    <w:rsid w:val="00CF6F37"/>
    <w:rsid w:val="00D006D3"/>
    <w:rsid w:val="00D020DF"/>
    <w:rsid w:val="00D022C7"/>
    <w:rsid w:val="00D03041"/>
    <w:rsid w:val="00D03886"/>
    <w:rsid w:val="00D04052"/>
    <w:rsid w:val="00D05788"/>
    <w:rsid w:val="00D060E6"/>
    <w:rsid w:val="00D06484"/>
    <w:rsid w:val="00D06924"/>
    <w:rsid w:val="00D07058"/>
    <w:rsid w:val="00D104C6"/>
    <w:rsid w:val="00D1193B"/>
    <w:rsid w:val="00D13217"/>
    <w:rsid w:val="00D138EE"/>
    <w:rsid w:val="00D14317"/>
    <w:rsid w:val="00D20213"/>
    <w:rsid w:val="00D202BA"/>
    <w:rsid w:val="00D21333"/>
    <w:rsid w:val="00D2149D"/>
    <w:rsid w:val="00D24470"/>
    <w:rsid w:val="00D26443"/>
    <w:rsid w:val="00D26635"/>
    <w:rsid w:val="00D31EB9"/>
    <w:rsid w:val="00D3239F"/>
    <w:rsid w:val="00D32947"/>
    <w:rsid w:val="00D35EBA"/>
    <w:rsid w:val="00D368F2"/>
    <w:rsid w:val="00D4118B"/>
    <w:rsid w:val="00D41309"/>
    <w:rsid w:val="00D413F6"/>
    <w:rsid w:val="00D42656"/>
    <w:rsid w:val="00D42EB5"/>
    <w:rsid w:val="00D44AD7"/>
    <w:rsid w:val="00D455AC"/>
    <w:rsid w:val="00D4630A"/>
    <w:rsid w:val="00D465DC"/>
    <w:rsid w:val="00D47FB9"/>
    <w:rsid w:val="00D502BB"/>
    <w:rsid w:val="00D52094"/>
    <w:rsid w:val="00D5259C"/>
    <w:rsid w:val="00D527B5"/>
    <w:rsid w:val="00D52853"/>
    <w:rsid w:val="00D52AAE"/>
    <w:rsid w:val="00D530D7"/>
    <w:rsid w:val="00D54674"/>
    <w:rsid w:val="00D54A49"/>
    <w:rsid w:val="00D54F99"/>
    <w:rsid w:val="00D57B36"/>
    <w:rsid w:val="00D61436"/>
    <w:rsid w:val="00D615F4"/>
    <w:rsid w:val="00D62960"/>
    <w:rsid w:val="00D629B0"/>
    <w:rsid w:val="00D631EF"/>
    <w:rsid w:val="00D652D8"/>
    <w:rsid w:val="00D65BE7"/>
    <w:rsid w:val="00D67402"/>
    <w:rsid w:val="00D674FB"/>
    <w:rsid w:val="00D707DE"/>
    <w:rsid w:val="00D721E4"/>
    <w:rsid w:val="00D741A9"/>
    <w:rsid w:val="00D753F0"/>
    <w:rsid w:val="00D76F2D"/>
    <w:rsid w:val="00D813DA"/>
    <w:rsid w:val="00D813F8"/>
    <w:rsid w:val="00D846FB"/>
    <w:rsid w:val="00D873F7"/>
    <w:rsid w:val="00D9095D"/>
    <w:rsid w:val="00D9380E"/>
    <w:rsid w:val="00D93958"/>
    <w:rsid w:val="00D94AE9"/>
    <w:rsid w:val="00D94B6D"/>
    <w:rsid w:val="00D95D47"/>
    <w:rsid w:val="00D979D9"/>
    <w:rsid w:val="00DA1FB3"/>
    <w:rsid w:val="00DA2AE5"/>
    <w:rsid w:val="00DA3151"/>
    <w:rsid w:val="00DA5AA9"/>
    <w:rsid w:val="00DA75C4"/>
    <w:rsid w:val="00DB0E67"/>
    <w:rsid w:val="00DB14D1"/>
    <w:rsid w:val="00DB206E"/>
    <w:rsid w:val="00DB297E"/>
    <w:rsid w:val="00DB2AB7"/>
    <w:rsid w:val="00DB31EB"/>
    <w:rsid w:val="00DB31F0"/>
    <w:rsid w:val="00DB3B55"/>
    <w:rsid w:val="00DB44D1"/>
    <w:rsid w:val="00DB56D3"/>
    <w:rsid w:val="00DC15E9"/>
    <w:rsid w:val="00DC1DF9"/>
    <w:rsid w:val="00DC1ECF"/>
    <w:rsid w:val="00DC283A"/>
    <w:rsid w:val="00DC3E7A"/>
    <w:rsid w:val="00DC54CA"/>
    <w:rsid w:val="00DC6AD4"/>
    <w:rsid w:val="00DC7425"/>
    <w:rsid w:val="00DC7D07"/>
    <w:rsid w:val="00DD0905"/>
    <w:rsid w:val="00DD09EB"/>
    <w:rsid w:val="00DD0BBB"/>
    <w:rsid w:val="00DD1EDE"/>
    <w:rsid w:val="00DD413F"/>
    <w:rsid w:val="00DD522A"/>
    <w:rsid w:val="00DD72D3"/>
    <w:rsid w:val="00DD753C"/>
    <w:rsid w:val="00DE0228"/>
    <w:rsid w:val="00DE02A6"/>
    <w:rsid w:val="00DE03DA"/>
    <w:rsid w:val="00DE2ED9"/>
    <w:rsid w:val="00DE31DD"/>
    <w:rsid w:val="00DE3799"/>
    <w:rsid w:val="00DE496F"/>
    <w:rsid w:val="00DE49F6"/>
    <w:rsid w:val="00DE5464"/>
    <w:rsid w:val="00DE5932"/>
    <w:rsid w:val="00DE6307"/>
    <w:rsid w:val="00DE6871"/>
    <w:rsid w:val="00DE728D"/>
    <w:rsid w:val="00DE7E87"/>
    <w:rsid w:val="00DE7F71"/>
    <w:rsid w:val="00DF08D9"/>
    <w:rsid w:val="00DF1C8D"/>
    <w:rsid w:val="00DF2B87"/>
    <w:rsid w:val="00DF33E8"/>
    <w:rsid w:val="00DF3459"/>
    <w:rsid w:val="00DF5843"/>
    <w:rsid w:val="00DF71E7"/>
    <w:rsid w:val="00E015AC"/>
    <w:rsid w:val="00E0614C"/>
    <w:rsid w:val="00E061FE"/>
    <w:rsid w:val="00E06F33"/>
    <w:rsid w:val="00E105FF"/>
    <w:rsid w:val="00E11377"/>
    <w:rsid w:val="00E1257F"/>
    <w:rsid w:val="00E135AE"/>
    <w:rsid w:val="00E13C13"/>
    <w:rsid w:val="00E168F1"/>
    <w:rsid w:val="00E1733B"/>
    <w:rsid w:val="00E2084A"/>
    <w:rsid w:val="00E22060"/>
    <w:rsid w:val="00E22E0D"/>
    <w:rsid w:val="00E23A8F"/>
    <w:rsid w:val="00E257F7"/>
    <w:rsid w:val="00E265B2"/>
    <w:rsid w:val="00E27E79"/>
    <w:rsid w:val="00E27F53"/>
    <w:rsid w:val="00E30BC3"/>
    <w:rsid w:val="00E30CEF"/>
    <w:rsid w:val="00E3128D"/>
    <w:rsid w:val="00E364A0"/>
    <w:rsid w:val="00E3708B"/>
    <w:rsid w:val="00E37DA9"/>
    <w:rsid w:val="00E41CC5"/>
    <w:rsid w:val="00E427A3"/>
    <w:rsid w:val="00E42BFA"/>
    <w:rsid w:val="00E4342A"/>
    <w:rsid w:val="00E444B5"/>
    <w:rsid w:val="00E45A8C"/>
    <w:rsid w:val="00E51159"/>
    <w:rsid w:val="00E52940"/>
    <w:rsid w:val="00E52A31"/>
    <w:rsid w:val="00E5305B"/>
    <w:rsid w:val="00E531B9"/>
    <w:rsid w:val="00E53819"/>
    <w:rsid w:val="00E572E6"/>
    <w:rsid w:val="00E573D3"/>
    <w:rsid w:val="00E62159"/>
    <w:rsid w:val="00E63280"/>
    <w:rsid w:val="00E632ED"/>
    <w:rsid w:val="00E640C7"/>
    <w:rsid w:val="00E64688"/>
    <w:rsid w:val="00E6517A"/>
    <w:rsid w:val="00E65368"/>
    <w:rsid w:val="00E667A1"/>
    <w:rsid w:val="00E668F6"/>
    <w:rsid w:val="00E67423"/>
    <w:rsid w:val="00E67770"/>
    <w:rsid w:val="00E70A18"/>
    <w:rsid w:val="00E72D94"/>
    <w:rsid w:val="00E730AC"/>
    <w:rsid w:val="00E73FE9"/>
    <w:rsid w:val="00E759E2"/>
    <w:rsid w:val="00E75A28"/>
    <w:rsid w:val="00E7738A"/>
    <w:rsid w:val="00E77B6D"/>
    <w:rsid w:val="00E830CA"/>
    <w:rsid w:val="00E83B4C"/>
    <w:rsid w:val="00E86008"/>
    <w:rsid w:val="00E861EF"/>
    <w:rsid w:val="00E8639F"/>
    <w:rsid w:val="00E86A7E"/>
    <w:rsid w:val="00E86D0E"/>
    <w:rsid w:val="00E90166"/>
    <w:rsid w:val="00E90B6B"/>
    <w:rsid w:val="00E91AC7"/>
    <w:rsid w:val="00E91DF8"/>
    <w:rsid w:val="00E9307B"/>
    <w:rsid w:val="00E93E75"/>
    <w:rsid w:val="00E941E9"/>
    <w:rsid w:val="00E949D7"/>
    <w:rsid w:val="00E94A0A"/>
    <w:rsid w:val="00E94FA3"/>
    <w:rsid w:val="00E959E8"/>
    <w:rsid w:val="00E9664D"/>
    <w:rsid w:val="00E97509"/>
    <w:rsid w:val="00E97A60"/>
    <w:rsid w:val="00EA14F3"/>
    <w:rsid w:val="00EA2985"/>
    <w:rsid w:val="00EA46A7"/>
    <w:rsid w:val="00EA4CD0"/>
    <w:rsid w:val="00EA4D47"/>
    <w:rsid w:val="00EA56CD"/>
    <w:rsid w:val="00EA5E80"/>
    <w:rsid w:val="00EA6113"/>
    <w:rsid w:val="00EB3E05"/>
    <w:rsid w:val="00EB42F6"/>
    <w:rsid w:val="00EB4875"/>
    <w:rsid w:val="00EB48E2"/>
    <w:rsid w:val="00EB7E4F"/>
    <w:rsid w:val="00EC1A34"/>
    <w:rsid w:val="00EC1D94"/>
    <w:rsid w:val="00EC239D"/>
    <w:rsid w:val="00EC45C1"/>
    <w:rsid w:val="00EC5EA6"/>
    <w:rsid w:val="00EC5EC1"/>
    <w:rsid w:val="00EC6495"/>
    <w:rsid w:val="00EC7946"/>
    <w:rsid w:val="00ED02EA"/>
    <w:rsid w:val="00ED0BC8"/>
    <w:rsid w:val="00ED1E7E"/>
    <w:rsid w:val="00ED2363"/>
    <w:rsid w:val="00ED39A9"/>
    <w:rsid w:val="00ED3A87"/>
    <w:rsid w:val="00ED4397"/>
    <w:rsid w:val="00ED4F82"/>
    <w:rsid w:val="00ED54CD"/>
    <w:rsid w:val="00ED56AE"/>
    <w:rsid w:val="00ED5718"/>
    <w:rsid w:val="00ED73CF"/>
    <w:rsid w:val="00ED7548"/>
    <w:rsid w:val="00EE0C3B"/>
    <w:rsid w:val="00EE1DCE"/>
    <w:rsid w:val="00EE273E"/>
    <w:rsid w:val="00EE3FE8"/>
    <w:rsid w:val="00EE6A1B"/>
    <w:rsid w:val="00EE75B0"/>
    <w:rsid w:val="00EF0348"/>
    <w:rsid w:val="00EF24FC"/>
    <w:rsid w:val="00EF2C66"/>
    <w:rsid w:val="00EF43B0"/>
    <w:rsid w:val="00EF4D28"/>
    <w:rsid w:val="00EF4D46"/>
    <w:rsid w:val="00EF5412"/>
    <w:rsid w:val="00EF618A"/>
    <w:rsid w:val="00EF6288"/>
    <w:rsid w:val="00EF69B5"/>
    <w:rsid w:val="00EF7C09"/>
    <w:rsid w:val="00F00582"/>
    <w:rsid w:val="00F01DCA"/>
    <w:rsid w:val="00F01F33"/>
    <w:rsid w:val="00F02300"/>
    <w:rsid w:val="00F03BAB"/>
    <w:rsid w:val="00F058E8"/>
    <w:rsid w:val="00F07990"/>
    <w:rsid w:val="00F079DE"/>
    <w:rsid w:val="00F07B54"/>
    <w:rsid w:val="00F13FDD"/>
    <w:rsid w:val="00F14AB7"/>
    <w:rsid w:val="00F15795"/>
    <w:rsid w:val="00F16CB3"/>
    <w:rsid w:val="00F2095E"/>
    <w:rsid w:val="00F2239C"/>
    <w:rsid w:val="00F232DC"/>
    <w:rsid w:val="00F2374B"/>
    <w:rsid w:val="00F24253"/>
    <w:rsid w:val="00F24B9F"/>
    <w:rsid w:val="00F30335"/>
    <w:rsid w:val="00F316CE"/>
    <w:rsid w:val="00F3243E"/>
    <w:rsid w:val="00F3251D"/>
    <w:rsid w:val="00F3574D"/>
    <w:rsid w:val="00F40832"/>
    <w:rsid w:val="00F4150D"/>
    <w:rsid w:val="00F41C85"/>
    <w:rsid w:val="00F43C60"/>
    <w:rsid w:val="00F43EB2"/>
    <w:rsid w:val="00F44306"/>
    <w:rsid w:val="00F450C4"/>
    <w:rsid w:val="00F45D43"/>
    <w:rsid w:val="00F46C78"/>
    <w:rsid w:val="00F505E1"/>
    <w:rsid w:val="00F50F5F"/>
    <w:rsid w:val="00F511BD"/>
    <w:rsid w:val="00F5331A"/>
    <w:rsid w:val="00F5369B"/>
    <w:rsid w:val="00F53D71"/>
    <w:rsid w:val="00F546EE"/>
    <w:rsid w:val="00F56D50"/>
    <w:rsid w:val="00F56D85"/>
    <w:rsid w:val="00F575CB"/>
    <w:rsid w:val="00F57B6F"/>
    <w:rsid w:val="00F60331"/>
    <w:rsid w:val="00F610FE"/>
    <w:rsid w:val="00F61366"/>
    <w:rsid w:val="00F618C3"/>
    <w:rsid w:val="00F6360B"/>
    <w:rsid w:val="00F6440A"/>
    <w:rsid w:val="00F66516"/>
    <w:rsid w:val="00F675AA"/>
    <w:rsid w:val="00F7254D"/>
    <w:rsid w:val="00F725D5"/>
    <w:rsid w:val="00F73093"/>
    <w:rsid w:val="00F730C4"/>
    <w:rsid w:val="00F754B7"/>
    <w:rsid w:val="00F77291"/>
    <w:rsid w:val="00F801FB"/>
    <w:rsid w:val="00F81940"/>
    <w:rsid w:val="00F81C93"/>
    <w:rsid w:val="00F82A59"/>
    <w:rsid w:val="00F82E58"/>
    <w:rsid w:val="00F83A83"/>
    <w:rsid w:val="00F84B0A"/>
    <w:rsid w:val="00F86B9C"/>
    <w:rsid w:val="00F875CF"/>
    <w:rsid w:val="00F907C1"/>
    <w:rsid w:val="00F91E33"/>
    <w:rsid w:val="00F925E4"/>
    <w:rsid w:val="00F93405"/>
    <w:rsid w:val="00F934AC"/>
    <w:rsid w:val="00F9420A"/>
    <w:rsid w:val="00F94FB4"/>
    <w:rsid w:val="00F95038"/>
    <w:rsid w:val="00F951C9"/>
    <w:rsid w:val="00FA09D8"/>
    <w:rsid w:val="00FA1868"/>
    <w:rsid w:val="00FA2A68"/>
    <w:rsid w:val="00FA3003"/>
    <w:rsid w:val="00FA37D3"/>
    <w:rsid w:val="00FA5901"/>
    <w:rsid w:val="00FA6E42"/>
    <w:rsid w:val="00FA71C3"/>
    <w:rsid w:val="00FB09BD"/>
    <w:rsid w:val="00FB170A"/>
    <w:rsid w:val="00FB34CC"/>
    <w:rsid w:val="00FC10BB"/>
    <w:rsid w:val="00FC3090"/>
    <w:rsid w:val="00FC569B"/>
    <w:rsid w:val="00FC5E2B"/>
    <w:rsid w:val="00FC65B3"/>
    <w:rsid w:val="00FC6AB0"/>
    <w:rsid w:val="00FC71FE"/>
    <w:rsid w:val="00FD05BB"/>
    <w:rsid w:val="00FD4404"/>
    <w:rsid w:val="00FD4910"/>
    <w:rsid w:val="00FD4ECD"/>
    <w:rsid w:val="00FD5AF9"/>
    <w:rsid w:val="00FD6807"/>
    <w:rsid w:val="00FD7684"/>
    <w:rsid w:val="00FE0C0F"/>
    <w:rsid w:val="00FE165F"/>
    <w:rsid w:val="00FE1C25"/>
    <w:rsid w:val="00FE1F0D"/>
    <w:rsid w:val="00FE26B9"/>
    <w:rsid w:val="00FE3395"/>
    <w:rsid w:val="00FE3E76"/>
    <w:rsid w:val="00FE3F1C"/>
    <w:rsid w:val="00FE631F"/>
    <w:rsid w:val="00FE6A08"/>
    <w:rsid w:val="00FE742B"/>
    <w:rsid w:val="00FE787A"/>
    <w:rsid w:val="00FE7B43"/>
    <w:rsid w:val="00FF22E9"/>
    <w:rsid w:val="00FF5A14"/>
    <w:rsid w:val="00FF5CFB"/>
    <w:rsid w:val="00FF6257"/>
    <w:rsid w:val="00FF6329"/>
    <w:rsid w:val="00FF657F"/>
    <w:rsid w:val="00FF73E5"/>
    <w:rsid w:val="00FF760D"/>
    <w:rsid w:val="00FF7C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2382B"/>
  <w15:chartTrackingRefBased/>
  <w15:docId w15:val="{E5DA7C9A-BC8A-48AD-951E-DC0B8900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D1D"/>
    <w:pPr>
      <w:spacing w:before="60" w:after="120" w:line="288" w:lineRule="auto"/>
    </w:pPr>
    <w:rPr>
      <w:rFonts w:ascii="Arial" w:hAnsi="Arial"/>
      <w:sz w:val="24"/>
      <w:lang w:val="fr-FR"/>
    </w:rPr>
  </w:style>
  <w:style w:type="paragraph" w:styleId="Heading1">
    <w:name w:val="heading 1"/>
    <w:next w:val="Normal"/>
    <w:link w:val="Heading1Char"/>
    <w:uiPriority w:val="9"/>
    <w:qFormat/>
    <w:rsid w:val="00507D1D"/>
    <w:pPr>
      <w:keepNext/>
      <w:keepLines/>
      <w:numPr>
        <w:numId w:val="4"/>
      </w:numPr>
      <w:pBdr>
        <w:bottom w:val="single" w:sz="8" w:space="1" w:color="86AF49"/>
      </w:pBdr>
      <w:spacing w:before="400" w:after="40" w:line="288" w:lineRule="auto"/>
      <w:outlineLvl w:val="0"/>
    </w:pPr>
    <w:rPr>
      <w:rFonts w:ascii="Arial" w:eastAsiaTheme="majorEastAsia" w:hAnsi="Arial" w:cstheme="majorBidi"/>
      <w:b/>
      <w:caps/>
      <w:color w:val="404040" w:themeColor="text1" w:themeTint="BF"/>
      <w:sz w:val="36"/>
      <w:szCs w:val="36"/>
      <w:lang w:val="fr-FR"/>
    </w:rPr>
  </w:style>
  <w:style w:type="paragraph" w:styleId="Heading2">
    <w:name w:val="heading 2"/>
    <w:next w:val="Normal"/>
    <w:link w:val="Heading2Char"/>
    <w:uiPriority w:val="9"/>
    <w:unhideWhenUsed/>
    <w:qFormat/>
    <w:rsid w:val="00507D1D"/>
    <w:pPr>
      <w:keepNext/>
      <w:keepLines/>
      <w:numPr>
        <w:ilvl w:val="1"/>
        <w:numId w:val="4"/>
      </w:numPr>
      <w:spacing w:before="240" w:after="120" w:line="288" w:lineRule="auto"/>
      <w:outlineLvl w:val="1"/>
    </w:pPr>
    <w:rPr>
      <w:rFonts w:ascii="Arial" w:eastAsiaTheme="majorEastAsia" w:hAnsi="Arial" w:cstheme="majorBidi"/>
      <w:b/>
      <w:smallCaps/>
      <w:color w:val="404040" w:themeColor="text1" w:themeTint="BF"/>
      <w:sz w:val="32"/>
      <w:szCs w:val="28"/>
      <w:lang w:val="fr-FR"/>
    </w:rPr>
  </w:style>
  <w:style w:type="paragraph" w:styleId="Heading3">
    <w:name w:val="heading 3"/>
    <w:next w:val="Normal"/>
    <w:link w:val="Heading3Char"/>
    <w:uiPriority w:val="9"/>
    <w:unhideWhenUsed/>
    <w:qFormat/>
    <w:rsid w:val="00507D1D"/>
    <w:pPr>
      <w:keepNext/>
      <w:keepLines/>
      <w:numPr>
        <w:ilvl w:val="2"/>
        <w:numId w:val="4"/>
      </w:numPr>
      <w:spacing w:before="120" w:after="0" w:line="240" w:lineRule="auto"/>
      <w:outlineLvl w:val="2"/>
    </w:pPr>
    <w:rPr>
      <w:rFonts w:ascii="Arial" w:eastAsiaTheme="majorEastAsia" w:hAnsi="Arial" w:cstheme="majorBidi"/>
      <w:b/>
      <w:sz w:val="28"/>
      <w:szCs w:val="28"/>
      <w:lang w:val="fr-FR"/>
    </w:rPr>
  </w:style>
  <w:style w:type="paragraph" w:styleId="Heading4">
    <w:name w:val="heading 4"/>
    <w:next w:val="Normal"/>
    <w:link w:val="Heading4Char"/>
    <w:uiPriority w:val="9"/>
    <w:unhideWhenUsed/>
    <w:qFormat/>
    <w:rsid w:val="00AD1045"/>
    <w:pPr>
      <w:keepNext/>
      <w:keepLines/>
      <w:spacing w:before="120" w:after="120" w:line="288" w:lineRule="auto"/>
      <w:outlineLvl w:val="3"/>
    </w:pPr>
    <w:rPr>
      <w:rFonts w:ascii="Arial" w:eastAsiaTheme="majorEastAsia" w:hAnsi="Arial" w:cstheme="majorBidi"/>
      <w:b/>
      <w:sz w:val="24"/>
      <w:lang w:val="fr-FR"/>
    </w:rPr>
  </w:style>
  <w:style w:type="paragraph" w:styleId="Heading5">
    <w:name w:val="heading 5"/>
    <w:basedOn w:val="Normal"/>
    <w:next w:val="Normal"/>
    <w:link w:val="Heading5Char"/>
    <w:uiPriority w:val="9"/>
    <w:semiHidden/>
    <w:unhideWhenUsed/>
    <w:qFormat/>
    <w:rsid w:val="001F71A8"/>
    <w:pPr>
      <w:keepNext/>
      <w:keepLines/>
      <w:numPr>
        <w:ilvl w:val="4"/>
        <w:numId w:val="4"/>
      </w:numPr>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1F71A8"/>
    <w:pPr>
      <w:keepNext/>
      <w:keepLines/>
      <w:numPr>
        <w:ilvl w:val="5"/>
        <w:numId w:val="4"/>
      </w:numPr>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1F71A8"/>
    <w:pPr>
      <w:keepNext/>
      <w:keepLines/>
      <w:numPr>
        <w:ilvl w:val="6"/>
        <w:numId w:val="4"/>
      </w:numPr>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F71A8"/>
    <w:pPr>
      <w:keepNext/>
      <w:keepLines/>
      <w:numPr>
        <w:ilvl w:val="7"/>
        <w:numId w:val="4"/>
      </w:numPr>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1F71A8"/>
    <w:pPr>
      <w:keepNext/>
      <w:keepLines/>
      <w:numPr>
        <w:ilvl w:val="8"/>
        <w:numId w:val="4"/>
      </w:numPr>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71A8"/>
    <w:rPr>
      <w:b/>
      <w:bCs/>
    </w:rPr>
  </w:style>
  <w:style w:type="character" w:styleId="Emphasis">
    <w:name w:val="Emphasis"/>
    <w:basedOn w:val="DefaultParagraphFont"/>
    <w:uiPriority w:val="20"/>
    <w:qFormat/>
    <w:rsid w:val="001F71A8"/>
    <w:rPr>
      <w:i/>
      <w:iCs/>
    </w:rPr>
  </w:style>
  <w:style w:type="paragraph" w:styleId="Title">
    <w:name w:val="Title"/>
    <w:next w:val="Normal"/>
    <w:link w:val="TitleChar"/>
    <w:uiPriority w:val="10"/>
    <w:qFormat/>
    <w:rsid w:val="00B159EA"/>
    <w:pPr>
      <w:pBdr>
        <w:top w:val="single" w:sz="18" w:space="6" w:color="86AF49"/>
        <w:left w:val="single" w:sz="18" w:space="4" w:color="86AF49"/>
        <w:bottom w:val="single" w:sz="18" w:space="1" w:color="86AF49"/>
        <w:right w:val="single" w:sz="18" w:space="4" w:color="86AF49"/>
      </w:pBdr>
      <w:spacing w:before="2000" w:after="1920" w:line="360" w:lineRule="auto"/>
      <w:contextualSpacing/>
      <w:jc w:val="center"/>
    </w:pPr>
    <w:rPr>
      <w:rFonts w:ascii="Arial" w:eastAsiaTheme="majorEastAsia" w:hAnsi="Arial" w:cstheme="majorBidi"/>
      <w:b/>
      <w:caps/>
      <w:color w:val="5F7278"/>
      <w:spacing w:val="-10"/>
      <w:sz w:val="48"/>
      <w:szCs w:val="48"/>
      <w:lang w:val="fr-FR"/>
    </w:rPr>
  </w:style>
  <w:style w:type="character" w:customStyle="1" w:styleId="TitleChar">
    <w:name w:val="Title Char"/>
    <w:basedOn w:val="DefaultParagraphFont"/>
    <w:link w:val="Title"/>
    <w:uiPriority w:val="10"/>
    <w:rsid w:val="00B159EA"/>
    <w:rPr>
      <w:rFonts w:ascii="Arial" w:eastAsiaTheme="majorEastAsia" w:hAnsi="Arial" w:cstheme="majorBidi"/>
      <w:b/>
      <w:caps/>
      <w:color w:val="5F7278"/>
      <w:spacing w:val="-10"/>
      <w:sz w:val="48"/>
      <w:szCs w:val="48"/>
      <w:lang w:val="fr-FR"/>
    </w:rPr>
  </w:style>
  <w:style w:type="paragraph" w:styleId="Subtitle">
    <w:name w:val="Subtitle"/>
    <w:next w:val="Normal"/>
    <w:link w:val="SubtitleChar"/>
    <w:uiPriority w:val="11"/>
    <w:qFormat/>
    <w:rsid w:val="00507D1D"/>
    <w:pPr>
      <w:numPr>
        <w:ilvl w:val="1"/>
      </w:numPr>
      <w:spacing w:before="480" w:after="960" w:line="288" w:lineRule="auto"/>
      <w:jc w:val="center"/>
    </w:pPr>
    <w:rPr>
      <w:rFonts w:ascii="Arial" w:eastAsiaTheme="majorEastAsia" w:hAnsi="Arial" w:cstheme="majorBidi"/>
      <w:b/>
      <w:color w:val="595959" w:themeColor="text1" w:themeTint="A6"/>
      <w:sz w:val="28"/>
      <w:szCs w:val="28"/>
      <w:lang w:val="fr-FR"/>
    </w:rPr>
  </w:style>
  <w:style w:type="character" w:customStyle="1" w:styleId="SubtitleChar">
    <w:name w:val="Subtitle Char"/>
    <w:basedOn w:val="DefaultParagraphFont"/>
    <w:link w:val="Subtitle"/>
    <w:uiPriority w:val="11"/>
    <w:rsid w:val="00507D1D"/>
    <w:rPr>
      <w:rFonts w:ascii="Arial" w:eastAsiaTheme="majorEastAsia" w:hAnsi="Arial" w:cstheme="majorBidi"/>
      <w:b/>
      <w:color w:val="595959" w:themeColor="text1" w:themeTint="A6"/>
      <w:sz w:val="28"/>
      <w:szCs w:val="28"/>
      <w:lang w:val="fr-FR"/>
    </w:rPr>
  </w:style>
  <w:style w:type="character" w:customStyle="1" w:styleId="Heading1Char">
    <w:name w:val="Heading 1 Char"/>
    <w:basedOn w:val="DefaultParagraphFont"/>
    <w:link w:val="Heading1"/>
    <w:uiPriority w:val="9"/>
    <w:rsid w:val="00507D1D"/>
    <w:rPr>
      <w:rFonts w:ascii="Arial" w:eastAsiaTheme="majorEastAsia" w:hAnsi="Arial" w:cstheme="majorBidi"/>
      <w:b/>
      <w:caps/>
      <w:color w:val="404040" w:themeColor="text1" w:themeTint="BF"/>
      <w:sz w:val="36"/>
      <w:szCs w:val="36"/>
      <w:lang w:val="fr-FR"/>
    </w:rPr>
  </w:style>
  <w:style w:type="paragraph" w:styleId="Header">
    <w:name w:val="header"/>
    <w:basedOn w:val="Normal"/>
    <w:link w:val="HeaderChar"/>
    <w:uiPriority w:val="99"/>
    <w:rsid w:val="006144F9"/>
    <w:pPr>
      <w:tabs>
        <w:tab w:val="center" w:pos="4680"/>
        <w:tab w:val="right" w:pos="9360"/>
      </w:tabs>
      <w:spacing w:after="0" w:line="240" w:lineRule="auto"/>
      <w:jc w:val="center"/>
    </w:pPr>
    <w:rPr>
      <w:color w:val="595959" w:themeColor="text1" w:themeTint="A6"/>
      <w:sz w:val="20"/>
    </w:rPr>
  </w:style>
  <w:style w:type="character" w:customStyle="1" w:styleId="HeaderChar">
    <w:name w:val="Header Char"/>
    <w:basedOn w:val="DefaultParagraphFont"/>
    <w:link w:val="Header"/>
    <w:uiPriority w:val="99"/>
    <w:rsid w:val="006144F9"/>
    <w:rPr>
      <w:rFonts w:ascii="Verdana" w:hAnsi="Verdana"/>
      <w:color w:val="595959" w:themeColor="text1" w:themeTint="A6"/>
      <w:sz w:val="20"/>
      <w:lang w:val="fr-FR"/>
    </w:rPr>
  </w:style>
  <w:style w:type="character" w:customStyle="1" w:styleId="Heading2Char">
    <w:name w:val="Heading 2 Char"/>
    <w:basedOn w:val="DefaultParagraphFont"/>
    <w:link w:val="Heading2"/>
    <w:uiPriority w:val="9"/>
    <w:rsid w:val="00507D1D"/>
    <w:rPr>
      <w:rFonts w:ascii="Arial" w:eastAsiaTheme="majorEastAsia" w:hAnsi="Arial" w:cstheme="majorBidi"/>
      <w:b/>
      <w:smallCaps/>
      <w:color w:val="404040" w:themeColor="text1" w:themeTint="BF"/>
      <w:sz w:val="32"/>
      <w:szCs w:val="28"/>
      <w:lang w:val="fr-FR"/>
    </w:rPr>
  </w:style>
  <w:style w:type="paragraph" w:styleId="Footer">
    <w:name w:val="footer"/>
    <w:basedOn w:val="Normal"/>
    <w:link w:val="FooterChar"/>
    <w:uiPriority w:val="99"/>
    <w:rsid w:val="006144F9"/>
    <w:pPr>
      <w:tabs>
        <w:tab w:val="center" w:pos="4680"/>
        <w:tab w:val="right" w:pos="9360"/>
      </w:tabs>
      <w:spacing w:after="0" w:line="240" w:lineRule="auto"/>
    </w:pPr>
    <w:rPr>
      <w:color w:val="595959" w:themeColor="text1" w:themeTint="A6"/>
      <w:sz w:val="20"/>
    </w:rPr>
  </w:style>
  <w:style w:type="character" w:customStyle="1" w:styleId="FooterChar">
    <w:name w:val="Footer Char"/>
    <w:basedOn w:val="DefaultParagraphFont"/>
    <w:link w:val="Footer"/>
    <w:uiPriority w:val="99"/>
    <w:rsid w:val="006144F9"/>
    <w:rPr>
      <w:color w:val="595959" w:themeColor="text1" w:themeTint="A6"/>
      <w:sz w:val="20"/>
    </w:rPr>
  </w:style>
  <w:style w:type="character" w:customStyle="1" w:styleId="Heading3Char">
    <w:name w:val="Heading 3 Char"/>
    <w:basedOn w:val="DefaultParagraphFont"/>
    <w:link w:val="Heading3"/>
    <w:uiPriority w:val="9"/>
    <w:rsid w:val="00507D1D"/>
    <w:rPr>
      <w:rFonts w:ascii="Arial" w:eastAsiaTheme="majorEastAsia" w:hAnsi="Arial" w:cstheme="majorBidi"/>
      <w:b/>
      <w:sz w:val="28"/>
      <w:szCs w:val="28"/>
      <w:lang w:val="fr-FR"/>
    </w:rPr>
  </w:style>
  <w:style w:type="character" w:customStyle="1" w:styleId="Heading4Char">
    <w:name w:val="Heading 4 Char"/>
    <w:basedOn w:val="DefaultParagraphFont"/>
    <w:link w:val="Heading4"/>
    <w:uiPriority w:val="9"/>
    <w:rsid w:val="00AD1045"/>
    <w:rPr>
      <w:rFonts w:ascii="Arial" w:eastAsiaTheme="majorEastAsia" w:hAnsi="Arial" w:cstheme="majorBidi"/>
      <w:b/>
      <w:sz w:val="24"/>
      <w:lang w:val="fr-FR"/>
    </w:rPr>
  </w:style>
  <w:style w:type="character" w:customStyle="1" w:styleId="Heading5Char">
    <w:name w:val="Heading 5 Char"/>
    <w:basedOn w:val="DefaultParagraphFont"/>
    <w:link w:val="Heading5"/>
    <w:uiPriority w:val="9"/>
    <w:semiHidden/>
    <w:rsid w:val="001F71A8"/>
    <w:rPr>
      <w:rFonts w:asciiTheme="majorHAnsi" w:eastAsiaTheme="majorEastAsia" w:hAnsiTheme="majorHAnsi" w:cstheme="majorBidi"/>
      <w:i/>
      <w:iCs/>
      <w:caps/>
      <w:sz w:val="24"/>
      <w:lang w:val="fr-FR"/>
    </w:rPr>
  </w:style>
  <w:style w:type="character" w:customStyle="1" w:styleId="Heading6Char">
    <w:name w:val="Heading 6 Char"/>
    <w:basedOn w:val="DefaultParagraphFont"/>
    <w:link w:val="Heading6"/>
    <w:uiPriority w:val="9"/>
    <w:semiHidden/>
    <w:rsid w:val="001F71A8"/>
    <w:rPr>
      <w:rFonts w:asciiTheme="majorHAnsi" w:eastAsiaTheme="majorEastAsia" w:hAnsiTheme="majorHAnsi" w:cstheme="majorBidi"/>
      <w:b/>
      <w:bCs/>
      <w:caps/>
      <w:color w:val="262626" w:themeColor="text1" w:themeTint="D9"/>
      <w:sz w:val="20"/>
      <w:szCs w:val="20"/>
      <w:lang w:val="fr-FR"/>
    </w:rPr>
  </w:style>
  <w:style w:type="character" w:customStyle="1" w:styleId="Heading7Char">
    <w:name w:val="Heading 7 Char"/>
    <w:basedOn w:val="DefaultParagraphFont"/>
    <w:link w:val="Heading7"/>
    <w:uiPriority w:val="9"/>
    <w:semiHidden/>
    <w:rsid w:val="001F71A8"/>
    <w:rPr>
      <w:rFonts w:asciiTheme="majorHAnsi" w:eastAsiaTheme="majorEastAsia" w:hAnsiTheme="majorHAnsi" w:cstheme="majorBidi"/>
      <w:b/>
      <w:bCs/>
      <w:i/>
      <w:iCs/>
      <w:caps/>
      <w:color w:val="262626" w:themeColor="text1" w:themeTint="D9"/>
      <w:sz w:val="20"/>
      <w:szCs w:val="20"/>
      <w:lang w:val="fr-FR"/>
    </w:rPr>
  </w:style>
  <w:style w:type="character" w:customStyle="1" w:styleId="Heading8Char">
    <w:name w:val="Heading 8 Char"/>
    <w:basedOn w:val="DefaultParagraphFont"/>
    <w:link w:val="Heading8"/>
    <w:uiPriority w:val="9"/>
    <w:semiHidden/>
    <w:rsid w:val="001F71A8"/>
    <w:rPr>
      <w:rFonts w:asciiTheme="majorHAnsi" w:eastAsiaTheme="majorEastAsia" w:hAnsiTheme="majorHAnsi" w:cstheme="majorBidi"/>
      <w:b/>
      <w:bCs/>
      <w:caps/>
      <w:color w:val="7F7F7F" w:themeColor="text1" w:themeTint="80"/>
      <w:sz w:val="20"/>
      <w:szCs w:val="20"/>
      <w:lang w:val="fr-FR"/>
    </w:rPr>
  </w:style>
  <w:style w:type="character" w:customStyle="1" w:styleId="Heading9Char">
    <w:name w:val="Heading 9 Char"/>
    <w:basedOn w:val="DefaultParagraphFont"/>
    <w:link w:val="Heading9"/>
    <w:uiPriority w:val="9"/>
    <w:semiHidden/>
    <w:rsid w:val="001F71A8"/>
    <w:rPr>
      <w:rFonts w:asciiTheme="majorHAnsi" w:eastAsiaTheme="majorEastAsia" w:hAnsiTheme="majorHAnsi" w:cstheme="majorBidi"/>
      <w:b/>
      <w:bCs/>
      <w:i/>
      <w:iCs/>
      <w:caps/>
      <w:color w:val="7F7F7F" w:themeColor="text1" w:themeTint="80"/>
      <w:sz w:val="20"/>
      <w:szCs w:val="20"/>
      <w:lang w:val="fr-FR"/>
    </w:rPr>
  </w:style>
  <w:style w:type="paragraph" w:styleId="Caption">
    <w:name w:val="caption"/>
    <w:basedOn w:val="Normal"/>
    <w:next w:val="Normal"/>
    <w:uiPriority w:val="35"/>
    <w:semiHidden/>
    <w:unhideWhenUsed/>
    <w:qFormat/>
    <w:rsid w:val="001F71A8"/>
    <w:pPr>
      <w:spacing w:line="240" w:lineRule="auto"/>
    </w:pPr>
    <w:rPr>
      <w:b/>
      <w:bCs/>
      <w:smallCaps/>
      <w:color w:val="595959" w:themeColor="text1" w:themeTint="A6"/>
    </w:rPr>
  </w:style>
  <w:style w:type="paragraph" w:styleId="NoSpacing">
    <w:name w:val="No Spacing"/>
    <w:uiPriority w:val="1"/>
    <w:qFormat/>
    <w:rsid w:val="001F71A8"/>
    <w:pPr>
      <w:spacing w:after="0" w:line="240" w:lineRule="auto"/>
    </w:pPr>
  </w:style>
  <w:style w:type="paragraph" w:styleId="Quote">
    <w:name w:val="Quote"/>
    <w:basedOn w:val="Normal"/>
    <w:next w:val="Normal"/>
    <w:link w:val="QuoteChar"/>
    <w:uiPriority w:val="29"/>
    <w:qFormat/>
    <w:rsid w:val="001F71A8"/>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1F71A8"/>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1F71A8"/>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1F71A8"/>
    <w:rPr>
      <w:color w:val="404040" w:themeColor="text1" w:themeTint="BF"/>
      <w:sz w:val="32"/>
      <w:szCs w:val="32"/>
    </w:rPr>
  </w:style>
  <w:style w:type="character" w:styleId="SubtleEmphasis">
    <w:name w:val="Subtle Emphasis"/>
    <w:basedOn w:val="DefaultParagraphFont"/>
    <w:uiPriority w:val="19"/>
    <w:qFormat/>
    <w:rsid w:val="001F71A8"/>
    <w:rPr>
      <w:i/>
      <w:iCs/>
      <w:color w:val="595959" w:themeColor="text1" w:themeTint="A6"/>
    </w:rPr>
  </w:style>
  <w:style w:type="character" w:styleId="IntenseEmphasis">
    <w:name w:val="Intense Emphasis"/>
    <w:basedOn w:val="DefaultParagraphFont"/>
    <w:uiPriority w:val="21"/>
    <w:qFormat/>
    <w:rsid w:val="001F71A8"/>
    <w:rPr>
      <w:b/>
      <w:bCs/>
      <w:i/>
      <w:iCs/>
    </w:rPr>
  </w:style>
  <w:style w:type="character" w:styleId="SubtleReference">
    <w:name w:val="Subtle Reference"/>
    <w:basedOn w:val="DefaultParagraphFont"/>
    <w:uiPriority w:val="31"/>
    <w:qFormat/>
    <w:rsid w:val="001F71A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F71A8"/>
    <w:rPr>
      <w:b/>
      <w:bCs/>
      <w:caps w:val="0"/>
      <w:smallCaps/>
      <w:color w:val="auto"/>
      <w:spacing w:val="3"/>
      <w:u w:val="single"/>
    </w:rPr>
  </w:style>
  <w:style w:type="character" w:styleId="BookTitle">
    <w:name w:val="Book Title"/>
    <w:basedOn w:val="DefaultParagraphFont"/>
    <w:uiPriority w:val="33"/>
    <w:qFormat/>
    <w:rsid w:val="001F71A8"/>
    <w:rPr>
      <w:b/>
      <w:bCs/>
      <w:smallCaps/>
      <w:spacing w:val="7"/>
    </w:rPr>
  </w:style>
  <w:style w:type="paragraph" w:styleId="TOCHeading">
    <w:name w:val="TOC Heading"/>
    <w:basedOn w:val="Heading1"/>
    <w:next w:val="Normal"/>
    <w:uiPriority w:val="39"/>
    <w:semiHidden/>
    <w:unhideWhenUsed/>
    <w:qFormat/>
    <w:rsid w:val="001F71A8"/>
    <w:pPr>
      <w:numPr>
        <w:numId w:val="3"/>
      </w:numPr>
      <w:outlineLvl w:val="9"/>
    </w:pPr>
  </w:style>
  <w:style w:type="paragraph" w:styleId="ListNumber">
    <w:name w:val="List Number"/>
    <w:basedOn w:val="Normal"/>
    <w:uiPriority w:val="99"/>
    <w:unhideWhenUsed/>
    <w:qFormat/>
    <w:rsid w:val="00762C03"/>
    <w:pPr>
      <w:numPr>
        <w:numId w:val="2"/>
      </w:numPr>
      <w:contextualSpacing/>
    </w:pPr>
  </w:style>
  <w:style w:type="paragraph" w:customStyle="1" w:styleId="encadre">
    <w:name w:val="encadre"/>
    <w:basedOn w:val="Normal"/>
    <w:uiPriority w:val="24"/>
    <w:qFormat/>
    <w:rsid w:val="00C531BF"/>
    <w:pPr>
      <w:pBdr>
        <w:top w:val="single" w:sz="8" w:space="1" w:color="auto"/>
        <w:left w:val="single" w:sz="8" w:space="4" w:color="auto"/>
        <w:bottom w:val="single" w:sz="8" w:space="1" w:color="auto"/>
        <w:right w:val="single" w:sz="8" w:space="4" w:color="auto"/>
      </w:pBdr>
      <w:spacing w:before="240" w:after="240"/>
      <w:ind w:left="567"/>
    </w:pPr>
  </w:style>
  <w:style w:type="paragraph" w:customStyle="1" w:styleId="resolution">
    <w:name w:val="resolution"/>
    <w:basedOn w:val="Normal"/>
    <w:qFormat/>
    <w:rsid w:val="00EA4CD0"/>
    <w:rPr>
      <w:b/>
      <w:i/>
    </w:rPr>
  </w:style>
  <w:style w:type="paragraph" w:customStyle="1" w:styleId="adoption">
    <w:name w:val="adoption"/>
    <w:basedOn w:val="Normal"/>
    <w:qFormat/>
    <w:rsid w:val="0014570F"/>
    <w:pPr>
      <w:jc w:val="right"/>
    </w:pPr>
    <w:rPr>
      <w:b/>
      <w:i/>
    </w:rPr>
  </w:style>
  <w:style w:type="paragraph" w:customStyle="1" w:styleId="code">
    <w:name w:val="code"/>
    <w:qFormat/>
    <w:rsid w:val="0014570F"/>
    <w:pPr>
      <w:shd w:val="clear" w:color="auto" w:fill="EAF6CE" w:themeFill="accent3" w:themeFillTint="33"/>
      <w:ind w:left="567" w:right="284"/>
    </w:pPr>
    <w:rPr>
      <w:rFonts w:ascii="Calibri" w:hAnsi="Calibri"/>
      <w:noProof/>
      <w:color w:val="000000" w:themeColor="text1"/>
    </w:rPr>
  </w:style>
  <w:style w:type="character" w:customStyle="1" w:styleId="code-text">
    <w:name w:val="code-text"/>
    <w:basedOn w:val="DefaultParagraphFont"/>
    <w:uiPriority w:val="1"/>
    <w:qFormat/>
    <w:rsid w:val="00B019AC"/>
    <w:rPr>
      <w:rFonts w:ascii="Calibri" w:hAnsi="Calibri"/>
      <w:sz w:val="22"/>
      <w:lang w:val="en-CA"/>
    </w:rPr>
  </w:style>
  <w:style w:type="paragraph" w:styleId="List">
    <w:name w:val="List"/>
    <w:basedOn w:val="Normal"/>
    <w:uiPriority w:val="99"/>
    <w:unhideWhenUsed/>
    <w:rsid w:val="00B019AC"/>
    <w:pPr>
      <w:ind w:left="283" w:hanging="283"/>
      <w:contextualSpacing/>
    </w:pPr>
  </w:style>
  <w:style w:type="paragraph" w:styleId="ListBullet">
    <w:name w:val="List Bullet"/>
    <w:basedOn w:val="Normal"/>
    <w:uiPriority w:val="99"/>
    <w:unhideWhenUsed/>
    <w:rsid w:val="00B019AC"/>
    <w:pPr>
      <w:numPr>
        <w:numId w:val="1"/>
      </w:numPr>
      <w:contextualSpacing/>
    </w:pPr>
  </w:style>
  <w:style w:type="paragraph" w:styleId="List2">
    <w:name w:val="List 2"/>
    <w:basedOn w:val="Normal"/>
    <w:uiPriority w:val="99"/>
    <w:unhideWhenUsed/>
    <w:rsid w:val="00B019AC"/>
    <w:pPr>
      <w:ind w:left="566" w:hanging="283"/>
      <w:contextualSpacing/>
    </w:pPr>
  </w:style>
  <w:style w:type="paragraph" w:styleId="ListContinue">
    <w:name w:val="List Continue"/>
    <w:basedOn w:val="Normal"/>
    <w:uiPriority w:val="99"/>
    <w:unhideWhenUsed/>
    <w:rsid w:val="00B019AC"/>
    <w:pPr>
      <w:ind w:left="283"/>
      <w:contextualSpacing/>
    </w:pPr>
  </w:style>
  <w:style w:type="paragraph" w:styleId="ListContinue2">
    <w:name w:val="List Continue 2"/>
    <w:basedOn w:val="Normal"/>
    <w:uiPriority w:val="99"/>
    <w:unhideWhenUsed/>
    <w:rsid w:val="00B019AC"/>
    <w:pPr>
      <w:ind w:left="566"/>
      <w:contextualSpacing/>
    </w:pPr>
  </w:style>
  <w:style w:type="paragraph" w:styleId="ListParagraph">
    <w:name w:val="List Paragraph"/>
    <w:basedOn w:val="Normal"/>
    <w:link w:val="ListParagraphChar"/>
    <w:uiPriority w:val="34"/>
    <w:qFormat/>
    <w:rsid w:val="00BB5E2F"/>
    <w:pPr>
      <w:ind w:left="720"/>
      <w:contextualSpacing/>
    </w:pPr>
  </w:style>
  <w:style w:type="character" w:styleId="PageNumber">
    <w:name w:val="page number"/>
    <w:basedOn w:val="DefaultParagraphFont"/>
    <w:uiPriority w:val="99"/>
    <w:unhideWhenUsed/>
    <w:rsid w:val="00B46F10"/>
  </w:style>
  <w:style w:type="character" w:styleId="Hyperlink">
    <w:name w:val="Hyperlink"/>
    <w:basedOn w:val="DefaultParagraphFont"/>
    <w:uiPriority w:val="99"/>
    <w:unhideWhenUsed/>
    <w:rsid w:val="001F05EF"/>
    <w:rPr>
      <w:color w:val="90BB23" w:themeColor="hyperlink"/>
      <w:u w:val="single"/>
    </w:rPr>
  </w:style>
  <w:style w:type="table" w:styleId="TableGrid">
    <w:name w:val="Table Grid"/>
    <w:basedOn w:val="TableNormal"/>
    <w:uiPriority w:val="59"/>
    <w:rsid w:val="00034ECD"/>
    <w:pPr>
      <w:spacing w:after="0" w:line="240" w:lineRule="auto"/>
      <w:jc w:val="both"/>
    </w:pPr>
    <w:rPr>
      <w:rFonts w:ascii="Verdana" w:eastAsia="Times New Roman" w:hAnsi="Verdana" w:cs="Times New Roman"/>
      <w:sz w:val="24"/>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36A4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C36A4E"/>
    <w:rPr>
      <w:rFonts w:ascii="Verdana" w:hAnsi="Verdana"/>
      <w:sz w:val="20"/>
      <w:szCs w:val="20"/>
      <w:lang w:val="fr-FR"/>
    </w:rPr>
  </w:style>
  <w:style w:type="character" w:styleId="FootnoteReference">
    <w:name w:val="footnote reference"/>
    <w:basedOn w:val="DefaultParagraphFont"/>
    <w:uiPriority w:val="99"/>
    <w:semiHidden/>
    <w:unhideWhenUsed/>
    <w:rsid w:val="00C36A4E"/>
    <w:rPr>
      <w:vertAlign w:val="superscript"/>
    </w:rPr>
  </w:style>
  <w:style w:type="character" w:customStyle="1" w:styleId="ListParagraphChar">
    <w:name w:val="List Paragraph Char"/>
    <w:basedOn w:val="DefaultParagraphFont"/>
    <w:link w:val="ListParagraph"/>
    <w:uiPriority w:val="34"/>
    <w:rsid w:val="00EA2985"/>
    <w:rPr>
      <w:rFonts w:ascii="Verdana" w:hAnsi="Verdana"/>
      <w:sz w:val="24"/>
      <w:lang w:val="fr-FR"/>
    </w:rPr>
  </w:style>
  <w:style w:type="paragraph" w:customStyle="1" w:styleId="liste-niv-1">
    <w:name w:val="liste-niv-1"/>
    <w:basedOn w:val="ListParagraph"/>
    <w:link w:val="liste-niv-1Char"/>
    <w:qFormat/>
    <w:rsid w:val="003722A6"/>
    <w:pPr>
      <w:numPr>
        <w:numId w:val="5"/>
      </w:numPr>
      <w:spacing w:after="60"/>
      <w:ind w:left="714" w:hanging="357"/>
      <w:jc w:val="both"/>
    </w:pPr>
    <w:rPr>
      <w:rFonts w:eastAsia="Times New Roman" w:cs="Times New Roman"/>
      <w:szCs w:val="20"/>
    </w:rPr>
  </w:style>
  <w:style w:type="paragraph" w:customStyle="1" w:styleId="liste-niv-2">
    <w:name w:val="liste-niv-2"/>
    <w:basedOn w:val="liste-niv-1"/>
    <w:qFormat/>
    <w:rsid w:val="003722A6"/>
    <w:pPr>
      <w:numPr>
        <w:ilvl w:val="1"/>
      </w:numPr>
    </w:pPr>
  </w:style>
  <w:style w:type="character" w:customStyle="1" w:styleId="liste-niv-1Char">
    <w:name w:val="liste-niv-1 Char"/>
    <w:basedOn w:val="ListParagraphChar"/>
    <w:link w:val="liste-niv-1"/>
    <w:rsid w:val="003722A6"/>
    <w:rPr>
      <w:rFonts w:ascii="Arial" w:eastAsia="Times New Roman" w:hAnsi="Arial" w:cs="Times New Roman"/>
      <w:sz w:val="24"/>
      <w:szCs w:val="20"/>
      <w:lang w:val="fr-FR"/>
    </w:rPr>
  </w:style>
  <w:style w:type="paragraph" w:styleId="TOC2">
    <w:name w:val="toc 2"/>
    <w:basedOn w:val="Normal"/>
    <w:next w:val="Normal"/>
    <w:autoRedefine/>
    <w:uiPriority w:val="39"/>
    <w:unhideWhenUsed/>
    <w:rsid w:val="002F515D"/>
    <w:pPr>
      <w:spacing w:after="100"/>
      <w:ind w:left="240"/>
    </w:pPr>
  </w:style>
  <w:style w:type="paragraph" w:styleId="TOC1">
    <w:name w:val="toc 1"/>
    <w:basedOn w:val="Normal"/>
    <w:next w:val="Normal"/>
    <w:autoRedefine/>
    <w:uiPriority w:val="39"/>
    <w:unhideWhenUsed/>
    <w:rsid w:val="002F515D"/>
    <w:pPr>
      <w:spacing w:after="100"/>
    </w:pPr>
  </w:style>
  <w:style w:type="paragraph" w:customStyle="1" w:styleId="address">
    <w:name w:val="address"/>
    <w:basedOn w:val="Normal"/>
    <w:link w:val="addressChar"/>
    <w:qFormat/>
    <w:rsid w:val="00507D1D"/>
    <w:pPr>
      <w:ind w:left="5670"/>
    </w:pPr>
  </w:style>
  <w:style w:type="character" w:customStyle="1" w:styleId="addressChar">
    <w:name w:val="address Char"/>
    <w:basedOn w:val="DefaultParagraphFont"/>
    <w:link w:val="address"/>
    <w:rsid w:val="00507D1D"/>
    <w:rPr>
      <w:rFonts w:ascii="Arial" w:hAnsi="Arial"/>
      <w:sz w:val="24"/>
      <w:lang w:val="fr-FR"/>
    </w:rPr>
  </w:style>
  <w:style w:type="character" w:customStyle="1" w:styleId="Lienhypertexte1">
    <w:name w:val="Lien hypertexte1"/>
    <w:basedOn w:val="DefaultParagraphFont"/>
    <w:uiPriority w:val="99"/>
    <w:unhideWhenUsed/>
    <w:rsid w:val="00307F21"/>
    <w:rPr>
      <w:color w:val="0563C1"/>
      <w:u w:val="single"/>
    </w:rPr>
  </w:style>
  <w:style w:type="character" w:styleId="FollowedHyperlink">
    <w:name w:val="FollowedHyperlink"/>
    <w:basedOn w:val="DefaultParagraphFont"/>
    <w:uiPriority w:val="99"/>
    <w:semiHidden/>
    <w:unhideWhenUsed/>
    <w:rsid w:val="00103BB9"/>
    <w:rPr>
      <w:color w:val="EE7008" w:themeColor="followedHyperlink"/>
      <w:u w:val="single"/>
    </w:rPr>
  </w:style>
  <w:style w:type="character" w:styleId="CommentReference">
    <w:name w:val="annotation reference"/>
    <w:basedOn w:val="DefaultParagraphFont"/>
    <w:uiPriority w:val="99"/>
    <w:semiHidden/>
    <w:unhideWhenUsed/>
    <w:rsid w:val="006234BD"/>
    <w:rPr>
      <w:sz w:val="16"/>
      <w:szCs w:val="16"/>
    </w:rPr>
  </w:style>
  <w:style w:type="paragraph" w:styleId="CommentText">
    <w:name w:val="annotation text"/>
    <w:basedOn w:val="Normal"/>
    <w:link w:val="CommentTextChar"/>
    <w:uiPriority w:val="99"/>
    <w:semiHidden/>
    <w:unhideWhenUsed/>
    <w:rsid w:val="006234BD"/>
    <w:pPr>
      <w:spacing w:line="240" w:lineRule="auto"/>
    </w:pPr>
    <w:rPr>
      <w:sz w:val="20"/>
      <w:szCs w:val="20"/>
    </w:rPr>
  </w:style>
  <w:style w:type="character" w:customStyle="1" w:styleId="CommentTextChar">
    <w:name w:val="Comment Text Char"/>
    <w:basedOn w:val="DefaultParagraphFont"/>
    <w:link w:val="CommentText"/>
    <w:uiPriority w:val="99"/>
    <w:semiHidden/>
    <w:rsid w:val="006234BD"/>
    <w:rPr>
      <w:rFonts w:ascii="Arial" w:hAnsi="Arial"/>
      <w:sz w:val="20"/>
      <w:szCs w:val="20"/>
      <w:lang w:val="fr-FR"/>
    </w:rPr>
  </w:style>
  <w:style w:type="paragraph" w:styleId="CommentSubject">
    <w:name w:val="annotation subject"/>
    <w:basedOn w:val="CommentText"/>
    <w:next w:val="CommentText"/>
    <w:link w:val="CommentSubjectChar"/>
    <w:uiPriority w:val="99"/>
    <w:semiHidden/>
    <w:unhideWhenUsed/>
    <w:rsid w:val="006234BD"/>
    <w:rPr>
      <w:b/>
      <w:bCs/>
    </w:rPr>
  </w:style>
  <w:style w:type="character" w:customStyle="1" w:styleId="CommentSubjectChar">
    <w:name w:val="Comment Subject Char"/>
    <w:basedOn w:val="CommentTextChar"/>
    <w:link w:val="CommentSubject"/>
    <w:uiPriority w:val="99"/>
    <w:semiHidden/>
    <w:rsid w:val="006234BD"/>
    <w:rPr>
      <w:rFonts w:ascii="Arial" w:hAnsi="Arial"/>
      <w:b/>
      <w:bCs/>
      <w:sz w:val="20"/>
      <w:szCs w:val="20"/>
      <w:lang w:val="fr-FR"/>
    </w:rPr>
  </w:style>
  <w:style w:type="paragraph" w:styleId="BalloonText">
    <w:name w:val="Balloon Text"/>
    <w:basedOn w:val="Normal"/>
    <w:link w:val="BalloonTextChar"/>
    <w:uiPriority w:val="99"/>
    <w:semiHidden/>
    <w:unhideWhenUsed/>
    <w:rsid w:val="006234BD"/>
    <w:pPr>
      <w:spacing w:before="0"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234BD"/>
    <w:rPr>
      <w:rFonts w:ascii="Segoe UI" w:hAnsi="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397200">
      <w:bodyDiv w:val="1"/>
      <w:marLeft w:val="0"/>
      <w:marRight w:val="0"/>
      <w:marTop w:val="0"/>
      <w:marBottom w:val="0"/>
      <w:divBdr>
        <w:top w:val="none" w:sz="0" w:space="0" w:color="auto"/>
        <w:left w:val="none" w:sz="0" w:space="0" w:color="auto"/>
        <w:bottom w:val="none" w:sz="0" w:space="0" w:color="auto"/>
        <w:right w:val="none" w:sz="0" w:space="0" w:color="auto"/>
      </w:divBdr>
    </w:div>
    <w:div w:id="911354338">
      <w:bodyDiv w:val="1"/>
      <w:marLeft w:val="0"/>
      <w:marRight w:val="0"/>
      <w:marTop w:val="0"/>
      <w:marBottom w:val="0"/>
      <w:divBdr>
        <w:top w:val="none" w:sz="0" w:space="0" w:color="auto"/>
        <w:left w:val="none" w:sz="0" w:space="0" w:color="auto"/>
        <w:bottom w:val="none" w:sz="0" w:space="0" w:color="auto"/>
        <w:right w:val="none" w:sz="0" w:space="0" w:color="auto"/>
      </w:divBdr>
    </w:div>
    <w:div w:id="1071924143">
      <w:bodyDiv w:val="1"/>
      <w:marLeft w:val="0"/>
      <w:marRight w:val="0"/>
      <w:marTop w:val="0"/>
      <w:marBottom w:val="0"/>
      <w:divBdr>
        <w:top w:val="none" w:sz="0" w:space="0" w:color="auto"/>
        <w:left w:val="none" w:sz="0" w:space="0" w:color="auto"/>
        <w:bottom w:val="none" w:sz="0" w:space="0" w:color="auto"/>
        <w:right w:val="none" w:sz="0" w:space="0" w:color="auto"/>
      </w:divBdr>
      <w:divsChild>
        <w:div w:id="1387796507">
          <w:marLeft w:val="0"/>
          <w:marRight w:val="0"/>
          <w:marTop w:val="0"/>
          <w:marBottom w:val="0"/>
          <w:divBdr>
            <w:top w:val="none" w:sz="0" w:space="0" w:color="auto"/>
            <w:left w:val="none" w:sz="0" w:space="0" w:color="auto"/>
            <w:bottom w:val="none" w:sz="0" w:space="0" w:color="auto"/>
            <w:right w:val="none" w:sz="0" w:space="0" w:color="auto"/>
          </w:divBdr>
          <w:divsChild>
            <w:div w:id="536548642">
              <w:marLeft w:val="0"/>
              <w:marRight w:val="0"/>
              <w:marTop w:val="0"/>
              <w:marBottom w:val="0"/>
              <w:divBdr>
                <w:top w:val="none" w:sz="0" w:space="0" w:color="auto"/>
                <w:left w:val="none" w:sz="0" w:space="0" w:color="auto"/>
                <w:bottom w:val="none" w:sz="0" w:space="0" w:color="auto"/>
                <w:right w:val="none" w:sz="0" w:space="0" w:color="auto"/>
              </w:divBdr>
              <w:divsChild>
                <w:div w:id="73552566">
                  <w:marLeft w:val="0"/>
                  <w:marRight w:val="0"/>
                  <w:marTop w:val="0"/>
                  <w:marBottom w:val="0"/>
                  <w:divBdr>
                    <w:top w:val="none" w:sz="0" w:space="0" w:color="auto"/>
                    <w:left w:val="none" w:sz="0" w:space="0" w:color="auto"/>
                    <w:bottom w:val="none" w:sz="0" w:space="0" w:color="auto"/>
                    <w:right w:val="none" w:sz="0" w:space="0" w:color="auto"/>
                  </w:divBdr>
                  <w:divsChild>
                    <w:div w:id="1019085197">
                      <w:marLeft w:val="0"/>
                      <w:marRight w:val="0"/>
                      <w:marTop w:val="0"/>
                      <w:marBottom w:val="0"/>
                      <w:divBdr>
                        <w:top w:val="none" w:sz="0" w:space="0" w:color="auto"/>
                        <w:left w:val="none" w:sz="0" w:space="0" w:color="auto"/>
                        <w:bottom w:val="none" w:sz="0" w:space="0" w:color="auto"/>
                        <w:right w:val="none" w:sz="0" w:space="0" w:color="auto"/>
                      </w:divBdr>
                      <w:divsChild>
                        <w:div w:id="278997270">
                          <w:marLeft w:val="0"/>
                          <w:marRight w:val="0"/>
                          <w:marTop w:val="0"/>
                          <w:marBottom w:val="0"/>
                          <w:divBdr>
                            <w:top w:val="none" w:sz="0" w:space="0" w:color="auto"/>
                            <w:left w:val="none" w:sz="0" w:space="0" w:color="auto"/>
                            <w:bottom w:val="none" w:sz="0" w:space="0" w:color="auto"/>
                            <w:right w:val="none" w:sz="0" w:space="0" w:color="auto"/>
                          </w:divBdr>
                          <w:divsChild>
                            <w:div w:id="712386273">
                              <w:marLeft w:val="0"/>
                              <w:marRight w:val="0"/>
                              <w:marTop w:val="0"/>
                              <w:marBottom w:val="0"/>
                              <w:divBdr>
                                <w:top w:val="none" w:sz="0" w:space="0" w:color="auto"/>
                                <w:left w:val="none" w:sz="0" w:space="0" w:color="auto"/>
                                <w:bottom w:val="none" w:sz="0" w:space="0" w:color="auto"/>
                                <w:right w:val="none" w:sz="0" w:space="0" w:color="auto"/>
                              </w:divBdr>
                              <w:divsChild>
                                <w:div w:id="1741830996">
                                  <w:marLeft w:val="0"/>
                                  <w:marRight w:val="0"/>
                                  <w:marTop w:val="225"/>
                                  <w:marBottom w:val="225"/>
                                  <w:divBdr>
                                    <w:top w:val="none" w:sz="0" w:space="0" w:color="auto"/>
                                    <w:left w:val="none" w:sz="0" w:space="0" w:color="auto"/>
                                    <w:bottom w:val="none" w:sz="0" w:space="0" w:color="auto"/>
                                    <w:right w:val="none" w:sz="0" w:space="0" w:color="auto"/>
                                  </w:divBdr>
                                  <w:divsChild>
                                    <w:div w:id="14535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941007">
      <w:bodyDiv w:val="1"/>
      <w:marLeft w:val="0"/>
      <w:marRight w:val="0"/>
      <w:marTop w:val="0"/>
      <w:marBottom w:val="0"/>
      <w:divBdr>
        <w:top w:val="none" w:sz="0" w:space="0" w:color="auto"/>
        <w:left w:val="none" w:sz="0" w:space="0" w:color="auto"/>
        <w:bottom w:val="none" w:sz="0" w:space="0" w:color="auto"/>
        <w:right w:val="none" w:sz="0" w:space="0" w:color="auto"/>
      </w:divBdr>
    </w:div>
    <w:div w:id="1891845264">
      <w:bodyDiv w:val="1"/>
      <w:marLeft w:val="0"/>
      <w:marRight w:val="0"/>
      <w:marTop w:val="0"/>
      <w:marBottom w:val="0"/>
      <w:divBdr>
        <w:top w:val="none" w:sz="0" w:space="0" w:color="auto"/>
        <w:left w:val="none" w:sz="0" w:space="0" w:color="auto"/>
        <w:bottom w:val="none" w:sz="0" w:space="0" w:color="auto"/>
        <w:right w:val="none" w:sz="0" w:space="0" w:color="auto"/>
      </w:divBdr>
    </w:div>
    <w:div w:id="193620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dephy-mtl.org"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ophq.gouv.qc.ca/fileadmin/centre_documentaire/Enquetes/Internes/Portrait_incapacite_Qc_ECI2012_V02.pdf" TargetMode="External"/><Relationship Id="rId13" Type="http://schemas.openxmlformats.org/officeDocument/2006/relationships/hyperlink" Target="https://www150.statcan.gc.ca/t1/tbl1/fr/tv.action?pid=3710004901&amp;pickMembers%5B0%5D=1.6&amp;pickMembers%5B1%5D=2.1&amp;pickMembers%5B2%5D=5.1" TargetMode="External"/><Relationship Id="rId18" Type="http://schemas.openxmlformats.org/officeDocument/2006/relationships/hyperlink" Target="https://www.realisonsmtl.ca/qualite" TargetMode="External"/><Relationship Id="rId3" Type="http://schemas.openxmlformats.org/officeDocument/2006/relationships/hyperlink" Target="http://ville.montreal.qc.ca/portal/page?_pageid=5798,42657625&amp;_dad=portal&amp;_schema=PORTAL&amp;id=30963" TargetMode="External"/><Relationship Id="rId7" Type="http://schemas.openxmlformats.org/officeDocument/2006/relationships/hyperlink" Target="https://www150.statcan.gc.ca/n1/pub/89-654-x/89-654-x2014001-fra.htm" TargetMode="External"/><Relationship Id="rId12" Type="http://schemas.openxmlformats.org/officeDocument/2006/relationships/hyperlink" Target="https://ripph.qc.ca/modele-mdh-pph/le-modele/" TargetMode="External"/><Relationship Id="rId17" Type="http://schemas.openxmlformats.org/officeDocument/2006/relationships/hyperlink" Target="https://santemontreal.qc.ca/fileadmin/fichiers/professionnels/DRSP/sujets-a-z/Aines/Fiche-aines-immigrants_FR.pdf" TargetMode="External"/><Relationship Id="rId2" Type="http://schemas.openxmlformats.org/officeDocument/2006/relationships/hyperlink" Target="https://www.canada.ca/fr/sante-canada/services/changements-climatiques-sante/population-risque.html" TargetMode="External"/><Relationship Id="rId16" Type="http://schemas.openxmlformats.org/officeDocument/2006/relationships/hyperlink" Target="http://ville.montreal.qc.ca/portal/page?_pageid=6897,67887637&amp;_dad=portal&amp;_schema=PORTAL" TargetMode="External"/><Relationship Id="rId1" Type="http://schemas.openxmlformats.org/officeDocument/2006/relationships/hyperlink" Target="http://ville.montreal.qc.ca/portal/page?_pageid=6877,143362217&amp;_dad=portal&amp;_schema=PORTAL" TargetMode="External"/><Relationship Id="rId6" Type="http://schemas.openxmlformats.org/officeDocument/2006/relationships/hyperlink" Target="https://santemontreal.qc.ca/fileadmin/user_upload/Uploads/tx_asssmpublications/pdf/publications/Portrait_aines_ile_de_Montreal_MAJ_janv2019.pdf" TargetMode="External"/><Relationship Id="rId11" Type="http://schemas.openxmlformats.org/officeDocument/2006/relationships/hyperlink" Target="https://cefrio.qc.ca/media/1898/netendances-2018_veillir_avec_le_numerique.pdf" TargetMode="External"/><Relationship Id="rId5" Type="http://schemas.openxmlformats.org/officeDocument/2006/relationships/hyperlink" Target="https://www.ophq.gouv.qc.ca/fileadmin/documents/Estimations_de_population_2012/DOC_Estim_pop_2012_PROV.pdf" TargetMode="External"/><Relationship Id="rId15" Type="http://schemas.openxmlformats.org/officeDocument/2006/relationships/hyperlink" Target="http://www.education.gouv.qc.ca/adultes/references/litteratie/peica/resultats-2012/niveau-2/" TargetMode="External"/><Relationship Id="rId10" Type="http://schemas.openxmlformats.org/officeDocument/2006/relationships/hyperlink" Target="https://cefrio.qc.ca/media/2171/netendances-2018-06-portrait-montr&#233;al_vf.pdf" TargetMode="External"/><Relationship Id="rId19" Type="http://schemas.openxmlformats.org/officeDocument/2006/relationships/hyperlink" Target="http://ville.montreal.qc.ca/pls/portal/url/ITEM/99099964613D20A4E0530A93013220A4" TargetMode="External"/><Relationship Id="rId4" Type="http://schemas.openxmlformats.org/officeDocument/2006/relationships/hyperlink" Target="http://ville.montreal.qc.ca/portal/page?_pageid=8258,90439740&amp;_dad=portal&amp;_schema=PORTAL" TargetMode="External"/><Relationship Id="rId9" Type="http://schemas.openxmlformats.org/officeDocument/2006/relationships/hyperlink" Target="https://www.ophq.gouv.qc.ca/fileadmin/centre_documentaire/Enquetes/Internes/Portrait_incapacite_Qc_ECI2012_V05.pdf" TargetMode="External"/><Relationship Id="rId14" Type="http://schemas.openxmlformats.org/officeDocument/2006/relationships/hyperlink" Target="https://www.ophq.gouv.qc.ca/fileadmin/centre_documentaire/Etudes__analyses_et_rapports/OPHQ_Rapport_Communication_EPF_WEB.pdf" TargetMode="External"/></Relationships>
</file>

<file path=word/theme/theme1.xml><?xml version="1.0" encoding="utf-8"?>
<a:theme xmlns:a="http://schemas.openxmlformats.org/drawingml/2006/main" name="Frame">
  <a:themeElements>
    <a:clrScheme name="Frame">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Frame">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rame">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C22F4-24E8-47D9-A07B-3E0987CA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29</Pages>
  <Words>9423</Words>
  <Characters>51831</Characters>
  <Application>Microsoft Office Word</Application>
  <DocSecurity>0</DocSecurity>
  <Lines>431</Lines>
  <Paragraphs>122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dc:creator>
  <cp:keywords/>
  <dc:description/>
  <cp:lastModifiedBy>anne</cp:lastModifiedBy>
  <cp:revision>52</cp:revision>
  <cp:lastPrinted>2017-06-21T16:15:00Z</cp:lastPrinted>
  <dcterms:created xsi:type="dcterms:W3CDTF">2020-01-19T23:37:00Z</dcterms:created>
  <dcterms:modified xsi:type="dcterms:W3CDTF">2020-01-20T23:30:00Z</dcterms:modified>
</cp:coreProperties>
</file>